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7FA854" w14:textId="61E744F4" w:rsidR="000D76FE" w:rsidRDefault="000D76FE" w:rsidP="000D76FE">
      <w:pPr>
        <w:jc w:val="right"/>
        <w:outlineLvl w:val="0"/>
        <w:rPr>
          <w:b/>
          <w:u w:val="single"/>
        </w:rPr>
      </w:pPr>
      <w:r>
        <w:rPr>
          <w:noProof/>
          <w:lang w:eastAsia="zh-TW"/>
        </w:rPr>
        <w:drawing>
          <wp:inline distT="0" distB="0" distL="0" distR="0" wp14:anchorId="004D25AD" wp14:editId="2AAB19F1">
            <wp:extent cx="1805305" cy="1137920"/>
            <wp:effectExtent l="0" t="0" r="4445" b="5080"/>
            <wp:docPr id="5" name="Picture 5" descr="/Volumes/EARTHCREATIVE/02 Clients/UKGBC/J2320 - Rebrand/09_FINAL FILES/LH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/Volumes/EARTHCREATIVE/02 Clients/UKGBC/J2320 - Rebrand/09_FINAL FILES/LH hea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98A30" w14:textId="77777777" w:rsidR="000D76FE" w:rsidRDefault="000D76FE" w:rsidP="00DD09E9">
      <w:pPr>
        <w:outlineLvl w:val="0"/>
        <w:rPr>
          <w:b/>
          <w:u w:val="single"/>
        </w:rPr>
      </w:pPr>
    </w:p>
    <w:p w14:paraId="080426C3" w14:textId="6B6381D3" w:rsidR="00DD09E9" w:rsidRPr="00D631DB" w:rsidRDefault="00AC2D70" w:rsidP="00DD09E9">
      <w:pPr>
        <w:outlineLvl w:val="0"/>
        <w:rPr>
          <w:b/>
          <w:u w:val="single"/>
        </w:rPr>
      </w:pPr>
      <w:r w:rsidRPr="00D631DB">
        <w:rPr>
          <w:b/>
          <w:u w:val="single"/>
        </w:rPr>
        <w:t>Accelerating the energy productivity</w:t>
      </w:r>
      <w:r w:rsidR="00284768" w:rsidRPr="00D631DB">
        <w:rPr>
          <w:b/>
          <w:u w:val="single"/>
        </w:rPr>
        <w:t xml:space="preserve"> </w:t>
      </w:r>
      <w:r w:rsidRPr="00D631DB">
        <w:rPr>
          <w:b/>
          <w:u w:val="single"/>
        </w:rPr>
        <w:t>of non-domestic buildings</w:t>
      </w:r>
    </w:p>
    <w:p w14:paraId="224FC209" w14:textId="4D4839F7" w:rsidR="00DD09E9" w:rsidRPr="00D631DB" w:rsidRDefault="00DD09E9" w:rsidP="00DD09E9">
      <w:pPr>
        <w:rPr>
          <w:b/>
          <w:u w:val="single"/>
        </w:rPr>
      </w:pPr>
    </w:p>
    <w:p w14:paraId="10F5C431" w14:textId="77777777" w:rsidR="003D7F0C" w:rsidRPr="00D631DB" w:rsidRDefault="003D7F0C" w:rsidP="003D7F0C">
      <w:pPr>
        <w:outlineLvl w:val="0"/>
      </w:pPr>
      <w:r w:rsidRPr="00D631DB">
        <w:rPr>
          <w:b/>
        </w:rPr>
        <w:t>The Opportunity</w:t>
      </w:r>
    </w:p>
    <w:p w14:paraId="3F744A37" w14:textId="77777777" w:rsidR="003D7F0C" w:rsidRPr="00D631DB" w:rsidRDefault="003D7F0C" w:rsidP="003D7F0C"/>
    <w:p w14:paraId="5569C700" w14:textId="5D83AAA2" w:rsidR="00567CD6" w:rsidRPr="00D631DB" w:rsidRDefault="003D7F0C" w:rsidP="003D7F0C">
      <w:r w:rsidRPr="00D631DB">
        <w:t xml:space="preserve">The Clean Growth Strategy </w:t>
      </w:r>
      <w:r w:rsidR="00E41B1F" w:rsidRPr="00D631DB">
        <w:t>recognises that</w:t>
      </w:r>
      <w:r w:rsidR="007860FF" w:rsidRPr="00D631DB">
        <w:t xml:space="preserve"> </w:t>
      </w:r>
      <w:r w:rsidR="003349A4" w:rsidRPr="00D631DB">
        <w:t>business energy efficiency could deliver £6bn in cost savings</w:t>
      </w:r>
      <w:r w:rsidR="00E94C30" w:rsidRPr="00D631DB">
        <w:t xml:space="preserve"> by 2030</w:t>
      </w:r>
      <w:r w:rsidR="003349A4" w:rsidRPr="00D631DB">
        <w:t xml:space="preserve"> and 22MtCO2</w:t>
      </w:r>
      <w:r w:rsidR="00E94C30" w:rsidRPr="00D631DB">
        <w:t>e</w:t>
      </w:r>
      <w:r w:rsidR="003349A4" w:rsidRPr="00D631DB">
        <w:t xml:space="preserve"> </w:t>
      </w:r>
      <w:r w:rsidR="00E94C30" w:rsidRPr="00D631DB">
        <w:t>towards</w:t>
      </w:r>
      <w:r w:rsidR="008341CF" w:rsidRPr="00D631DB">
        <w:t xml:space="preserve"> the fifth carbon budget</w:t>
      </w:r>
      <w:r w:rsidR="003349A4" w:rsidRPr="00D631DB">
        <w:t>, one of the</w:t>
      </w:r>
      <w:r w:rsidR="00E94C30" w:rsidRPr="00D631DB">
        <w:t xml:space="preserve"> single</w:t>
      </w:r>
      <w:r w:rsidR="003349A4" w:rsidRPr="00D631DB">
        <w:t xml:space="preserve"> largest</w:t>
      </w:r>
      <w:r w:rsidR="00E94C30" w:rsidRPr="00D631DB">
        <w:t xml:space="preserve"> carbon-saving</w:t>
      </w:r>
      <w:r w:rsidR="00567CD6" w:rsidRPr="00D631DB">
        <w:t xml:space="preserve"> </w:t>
      </w:r>
      <w:r w:rsidR="003349A4" w:rsidRPr="00D631DB">
        <w:t>measures</w:t>
      </w:r>
      <w:r w:rsidR="00E94C30" w:rsidRPr="00D631DB">
        <w:t xml:space="preserve"> in the whole Strategy</w:t>
      </w:r>
      <w:r w:rsidR="003349A4" w:rsidRPr="00D631DB">
        <w:t xml:space="preserve">. </w:t>
      </w:r>
      <w:r w:rsidR="00567CD6" w:rsidRPr="00D631DB">
        <w:t xml:space="preserve">Commercial </w:t>
      </w:r>
      <w:r w:rsidR="00170CC7" w:rsidRPr="00D631DB">
        <w:t>buildings could contribute half</w:t>
      </w:r>
      <w:r w:rsidR="00A2425D" w:rsidRPr="00D631DB">
        <w:t xml:space="preserve"> simply through better fabric, HVAC</w:t>
      </w:r>
      <w:r w:rsidR="00E64BA8" w:rsidRPr="00D631DB">
        <w:t xml:space="preserve"> </w:t>
      </w:r>
      <w:r w:rsidR="00A2425D" w:rsidRPr="00D631DB">
        <w:t xml:space="preserve">and energy management. </w:t>
      </w:r>
    </w:p>
    <w:p w14:paraId="7992CBED" w14:textId="77777777" w:rsidR="00567CD6" w:rsidRPr="00D631DB" w:rsidRDefault="00567CD6" w:rsidP="003D7F0C"/>
    <w:p w14:paraId="4C52A791" w14:textId="6FF0A363" w:rsidR="00170CC7" w:rsidRPr="00D631DB" w:rsidRDefault="00A2425D" w:rsidP="003D7F0C">
      <w:r w:rsidRPr="00D631DB">
        <w:t>But</w:t>
      </w:r>
      <w:r w:rsidR="00821972" w:rsidRPr="00D631DB">
        <w:t xml:space="preserve"> the CGS also recognises that</w:t>
      </w:r>
      <w:r w:rsidRPr="00D631DB">
        <w:t xml:space="preserve"> </w:t>
      </w:r>
      <w:r w:rsidR="00567CD6" w:rsidRPr="00D631DB">
        <w:t>efficient buildings can deliver other, non-carbon “multiple benefits”. Thi</w:t>
      </w:r>
      <w:r w:rsidR="00D97136" w:rsidRPr="00D631DB">
        <w:t xml:space="preserve">s </w:t>
      </w:r>
      <w:r w:rsidR="00AD6C7B" w:rsidRPr="00D631DB">
        <w:t>is known as</w:t>
      </w:r>
      <w:r w:rsidR="00567CD6" w:rsidRPr="00D631DB">
        <w:t xml:space="preserve"> “energy productivity” </w:t>
      </w:r>
      <w:r w:rsidR="00AD6C7B" w:rsidRPr="00D631DB">
        <w:t>and takes a number of forms:</w:t>
      </w:r>
    </w:p>
    <w:p w14:paraId="3989DC5D" w14:textId="78D7BD57" w:rsidR="00E41B1F" w:rsidRPr="00D631DB" w:rsidRDefault="00E41B1F" w:rsidP="003D7F0C"/>
    <w:p w14:paraId="3050B1BF" w14:textId="1F35EF35" w:rsidR="00AD6C7B" w:rsidRPr="00D631DB" w:rsidRDefault="00AD6C7B" w:rsidP="003D7F0C">
      <w:pPr>
        <w:pStyle w:val="ListParagraph"/>
        <w:numPr>
          <w:ilvl w:val="0"/>
          <w:numId w:val="1"/>
        </w:numPr>
      </w:pPr>
      <w:r w:rsidRPr="00D631DB">
        <w:rPr>
          <w:b/>
        </w:rPr>
        <w:t>Improved competitiveness:</w:t>
      </w:r>
      <w:r w:rsidRPr="00D631DB">
        <w:t xml:space="preserve"> companies w</w:t>
      </w:r>
      <w:r w:rsidR="004001CE" w:rsidRPr="00D631DB">
        <w:t xml:space="preserve">ith a high public profile such as retail </w:t>
      </w:r>
      <w:r w:rsidRPr="00D631DB">
        <w:t>benefit from the reputational advantage of occupying an efficient store or corporate headquarters</w:t>
      </w:r>
      <w:r w:rsidR="00E94C30" w:rsidRPr="00D631DB">
        <w:t>; lower energy spend will increase business competitiveness in a post-Brexit world</w:t>
      </w:r>
    </w:p>
    <w:p w14:paraId="5C2DBA55" w14:textId="5B5F3D1D" w:rsidR="004001CE" w:rsidRPr="00D631DB" w:rsidRDefault="004001CE" w:rsidP="003D7F0C">
      <w:pPr>
        <w:pStyle w:val="ListParagraph"/>
        <w:numPr>
          <w:ilvl w:val="0"/>
          <w:numId w:val="1"/>
        </w:numPr>
      </w:pPr>
      <w:r w:rsidRPr="00D631DB">
        <w:rPr>
          <w:b/>
        </w:rPr>
        <w:t xml:space="preserve">Lower risk profile: </w:t>
      </w:r>
      <w:r w:rsidRPr="00D631DB">
        <w:t xml:space="preserve"> companies in sensitive sectors such as banking, utilities, energy, pharmaceuticals and defence can offset negative perceptions</w:t>
      </w:r>
      <w:r w:rsidR="00B1606A" w:rsidRPr="00D631DB">
        <w:t xml:space="preserve"> and boost compliance</w:t>
      </w:r>
      <w:r w:rsidRPr="00D631DB">
        <w:t>.</w:t>
      </w:r>
    </w:p>
    <w:p w14:paraId="7F4E2177" w14:textId="3D47C8D9" w:rsidR="004001CE" w:rsidRPr="00D631DB" w:rsidRDefault="004001CE" w:rsidP="003D7F0C">
      <w:pPr>
        <w:pStyle w:val="ListParagraph"/>
        <w:numPr>
          <w:ilvl w:val="0"/>
          <w:numId w:val="1"/>
        </w:numPr>
        <w:rPr>
          <w:b/>
        </w:rPr>
      </w:pPr>
      <w:r w:rsidRPr="00D631DB">
        <w:rPr>
          <w:b/>
        </w:rPr>
        <w:t xml:space="preserve">Enhanced revenue stream: </w:t>
      </w:r>
      <w:r w:rsidRPr="00D631DB">
        <w:t xml:space="preserve">efficient buildings are known to attract higher and more consistent rental income as well as longer lease lengths and lower void periods. </w:t>
      </w:r>
    </w:p>
    <w:p w14:paraId="1BDC17F9" w14:textId="0A68178E" w:rsidR="00B1606A" w:rsidRPr="00D631DB" w:rsidRDefault="00D97136" w:rsidP="00B1606A">
      <w:pPr>
        <w:pStyle w:val="ListParagraph"/>
        <w:numPr>
          <w:ilvl w:val="0"/>
          <w:numId w:val="1"/>
        </w:numPr>
        <w:rPr>
          <w:b/>
        </w:rPr>
      </w:pPr>
      <w:r w:rsidRPr="00D631DB">
        <w:rPr>
          <w:b/>
        </w:rPr>
        <w:t xml:space="preserve">A more productive workforce: </w:t>
      </w:r>
      <w:r w:rsidR="008024B9" w:rsidRPr="00D631DB">
        <w:t>there is growing evidence that</w:t>
      </w:r>
      <w:r w:rsidR="008024B9" w:rsidRPr="00D631DB">
        <w:rPr>
          <w:b/>
        </w:rPr>
        <w:t xml:space="preserve"> </w:t>
      </w:r>
      <w:r w:rsidR="00B1606A" w:rsidRPr="00D631DB">
        <w:t>efficient buildings are more productive and healthier places to work, improving recruitment and retention.</w:t>
      </w:r>
    </w:p>
    <w:p w14:paraId="44E9DC75" w14:textId="63FE8662" w:rsidR="00567CD6" w:rsidRPr="00D631DB" w:rsidRDefault="00B1606A" w:rsidP="00BA4F4F">
      <w:pPr>
        <w:pStyle w:val="ListParagraph"/>
        <w:numPr>
          <w:ilvl w:val="0"/>
          <w:numId w:val="1"/>
        </w:numPr>
      </w:pPr>
      <w:r w:rsidRPr="00D631DB">
        <w:rPr>
          <w:b/>
        </w:rPr>
        <w:t xml:space="preserve">“Smart” energy </w:t>
      </w:r>
      <w:r w:rsidR="00B52F50" w:rsidRPr="00D631DB">
        <w:rPr>
          <w:b/>
        </w:rPr>
        <w:t>benefits:</w:t>
      </w:r>
      <w:r w:rsidR="00821972" w:rsidRPr="00D631DB">
        <w:rPr>
          <w:b/>
        </w:rPr>
        <w:t xml:space="preserve"> </w:t>
      </w:r>
      <w:r w:rsidR="00900FED" w:rsidRPr="00D631DB">
        <w:t>energy efficient building</w:t>
      </w:r>
      <w:r w:rsidR="00BA4F4F" w:rsidRPr="00D631DB">
        <w:t xml:space="preserve"> portfolios</w:t>
      </w:r>
      <w:r w:rsidR="00900FED" w:rsidRPr="00D631DB">
        <w:t xml:space="preserve"> </w:t>
      </w:r>
      <w:r w:rsidR="00BA4F4F" w:rsidRPr="00D631DB">
        <w:t xml:space="preserve">are being used to exploit new digital technologies and approaches such as DSR and peer-to-peer energy trading. </w:t>
      </w:r>
    </w:p>
    <w:p w14:paraId="367648FA" w14:textId="686336B3" w:rsidR="00BA4F4F" w:rsidRPr="00D631DB" w:rsidRDefault="00BA4F4F" w:rsidP="00BA4F4F"/>
    <w:p w14:paraId="41365FEC" w14:textId="1444DB75" w:rsidR="00BA4F4F" w:rsidRPr="00D631DB" w:rsidRDefault="00815C53" w:rsidP="00BA4F4F">
      <w:r w:rsidRPr="00D631DB">
        <w:t xml:space="preserve">This short paper looks at </w:t>
      </w:r>
      <w:r w:rsidR="00623F4A" w:rsidRPr="00D631DB">
        <w:t>how UK policy could be configured to significantly accelerate the energy productivity of</w:t>
      </w:r>
      <w:r w:rsidR="00A90B35" w:rsidRPr="00D631DB">
        <w:t xml:space="preserve"> non-domestic buildings.</w:t>
      </w:r>
    </w:p>
    <w:p w14:paraId="495E0D93" w14:textId="77777777" w:rsidR="003D7F0C" w:rsidRPr="00D631DB" w:rsidRDefault="003D7F0C" w:rsidP="00EB6B4B">
      <w:pPr>
        <w:rPr>
          <w:b/>
        </w:rPr>
      </w:pPr>
    </w:p>
    <w:p w14:paraId="2C3FDECC" w14:textId="68E236D2" w:rsidR="00847073" w:rsidRPr="00D631DB" w:rsidRDefault="00847073" w:rsidP="00EB6B4B">
      <w:pPr>
        <w:rPr>
          <w:b/>
        </w:rPr>
      </w:pPr>
      <w:r w:rsidRPr="00D631DB">
        <w:rPr>
          <w:b/>
        </w:rPr>
        <w:t xml:space="preserve">The </w:t>
      </w:r>
      <w:r w:rsidR="00284768" w:rsidRPr="00D631DB">
        <w:rPr>
          <w:b/>
        </w:rPr>
        <w:t>P</w:t>
      </w:r>
      <w:r w:rsidRPr="00D631DB">
        <w:rPr>
          <w:b/>
        </w:rPr>
        <w:t>roblem</w:t>
      </w:r>
    </w:p>
    <w:p w14:paraId="7085E43C" w14:textId="77777777" w:rsidR="00847073" w:rsidRPr="00D631DB" w:rsidRDefault="00847073" w:rsidP="00EB6B4B"/>
    <w:p w14:paraId="1C0355F0" w14:textId="657B4B04" w:rsidR="0051666D" w:rsidRPr="00D631DB" w:rsidRDefault="00E118C3" w:rsidP="00AE1DC8">
      <w:r w:rsidRPr="00D631DB">
        <w:t>Unlike most other sectors</w:t>
      </w:r>
      <w:r w:rsidR="001B5F95" w:rsidRPr="00D631DB">
        <w:t>,</w:t>
      </w:r>
      <w:r w:rsidRPr="00D631DB">
        <w:t xml:space="preserve"> emissions f</w:t>
      </w:r>
      <w:r w:rsidR="00700738" w:rsidRPr="00D631DB">
        <w:t>ro</w:t>
      </w:r>
      <w:r w:rsidRPr="00D631DB">
        <w:t xml:space="preserve">m non-domestic buildings </w:t>
      </w:r>
      <w:r w:rsidR="00175FB4" w:rsidRPr="00D631DB">
        <w:t xml:space="preserve">in the UK </w:t>
      </w:r>
      <w:r w:rsidR="00D255F0" w:rsidRPr="00D631DB">
        <w:t xml:space="preserve">are not </w:t>
      </w:r>
      <w:r w:rsidR="00FF5235" w:rsidRPr="00D631DB">
        <w:t>coming down</w:t>
      </w:r>
      <w:r w:rsidR="0004623E" w:rsidRPr="00D631DB">
        <w:t xml:space="preserve">, and for commercial buildings, are beginning to rise. </w:t>
      </w:r>
      <w:r w:rsidR="0030407A" w:rsidRPr="00D631DB">
        <w:t>A key factor</w:t>
      </w:r>
      <w:r w:rsidR="00263011" w:rsidRPr="00D631DB">
        <w:t xml:space="preserve"> </w:t>
      </w:r>
      <w:r w:rsidR="00106FF1" w:rsidRPr="00D631DB">
        <w:t xml:space="preserve">is that </w:t>
      </w:r>
      <w:r w:rsidR="002A2AC1" w:rsidRPr="00D631DB">
        <w:t xml:space="preserve">we regulate the </w:t>
      </w:r>
      <w:r w:rsidR="002C104A" w:rsidRPr="00D631DB">
        <w:t xml:space="preserve">predicted </w:t>
      </w:r>
      <w:r w:rsidR="00380F2F" w:rsidRPr="00D631DB">
        <w:t xml:space="preserve">energy </w:t>
      </w:r>
      <w:r w:rsidR="002C104A" w:rsidRPr="00D631DB">
        <w:t xml:space="preserve">use of the </w:t>
      </w:r>
      <w:r w:rsidR="00FC69ED" w:rsidRPr="00D631DB">
        <w:t xml:space="preserve">fabric and </w:t>
      </w:r>
      <w:r w:rsidR="0030407A" w:rsidRPr="00D631DB">
        <w:t>systems</w:t>
      </w:r>
      <w:r w:rsidR="00FC69ED" w:rsidRPr="00D631DB">
        <w:t xml:space="preserve"> </w:t>
      </w:r>
      <w:r w:rsidR="002A2AC1" w:rsidRPr="00D631DB">
        <w:t xml:space="preserve">and not the </w:t>
      </w:r>
      <w:r w:rsidR="002C104A" w:rsidRPr="00D631DB">
        <w:t>actua</w:t>
      </w:r>
      <w:r w:rsidR="00A900E8" w:rsidRPr="00D631DB">
        <w:t>l energy performance of the occupied building</w:t>
      </w:r>
      <w:r w:rsidR="00B52718" w:rsidRPr="00D631DB">
        <w:t>, which</w:t>
      </w:r>
      <w:r w:rsidR="006D23B8" w:rsidRPr="00D631DB">
        <w:t xml:space="preserve"> can </w:t>
      </w:r>
      <w:r w:rsidR="00326B0F" w:rsidRPr="00D631DB">
        <w:t>be</w:t>
      </w:r>
      <w:r w:rsidR="00F821D4" w:rsidRPr="00D631DB">
        <w:t xml:space="preserve"> dramatically worse than compliance with regulations </w:t>
      </w:r>
      <w:r w:rsidR="009D62A2" w:rsidRPr="00D631DB">
        <w:t>would imply</w:t>
      </w:r>
      <w:r w:rsidR="00E0692A" w:rsidRPr="00D631DB">
        <w:t>. T</w:t>
      </w:r>
      <w:r w:rsidR="0016649A" w:rsidRPr="00D631DB">
        <w:t>his</w:t>
      </w:r>
      <w:r w:rsidR="00CA3779" w:rsidRPr="00D631DB">
        <w:t xml:space="preserve"> </w:t>
      </w:r>
      <w:r w:rsidR="00E0692A" w:rsidRPr="00D631DB">
        <w:t>is known as the “performance gap”</w:t>
      </w:r>
      <w:r w:rsidR="009D62A2" w:rsidRPr="00D631DB">
        <w:t>, or more precisely the “performance unknown”</w:t>
      </w:r>
      <w:r w:rsidR="00F81F85" w:rsidRPr="00D631DB">
        <w:t>.</w:t>
      </w:r>
    </w:p>
    <w:p w14:paraId="7B9C54BA" w14:textId="6B15123B" w:rsidR="00F038A9" w:rsidRPr="00D631DB" w:rsidRDefault="00F038A9" w:rsidP="00AE1DC8"/>
    <w:p w14:paraId="53072224" w14:textId="73267C5F" w:rsidR="00EF5F2F" w:rsidRPr="00D631DB" w:rsidRDefault="008A1FBE" w:rsidP="00AE1DC8">
      <w:r w:rsidRPr="00D631DB">
        <w:t xml:space="preserve">The impact of the </w:t>
      </w:r>
      <w:r w:rsidR="00E94C30" w:rsidRPr="00D631DB">
        <w:t>“</w:t>
      </w:r>
      <w:r w:rsidRPr="00D631DB">
        <w:t xml:space="preserve">performance </w:t>
      </w:r>
      <w:r w:rsidR="009D62A2" w:rsidRPr="00D631DB">
        <w:t>unknown</w:t>
      </w:r>
      <w:r w:rsidR="00E94C30" w:rsidRPr="00D631DB">
        <w:t>”</w:t>
      </w:r>
      <w:r w:rsidR="009D62A2" w:rsidRPr="00D631DB">
        <w:t xml:space="preserve"> </w:t>
      </w:r>
      <w:r w:rsidRPr="00D631DB">
        <w:t xml:space="preserve">on the market is complex, but </w:t>
      </w:r>
      <w:r w:rsidR="002B58D4" w:rsidRPr="00D631DB">
        <w:t>it essentially sets up a tension between the demand- and supply-sides of the market</w:t>
      </w:r>
      <w:r w:rsidR="005C6C71" w:rsidRPr="00D631DB">
        <w:t>:</w:t>
      </w:r>
    </w:p>
    <w:p w14:paraId="51B53F15" w14:textId="77777777" w:rsidR="00AE1DC8" w:rsidRPr="00D631DB" w:rsidRDefault="00AE1DC8" w:rsidP="00AE1DC8"/>
    <w:p w14:paraId="3141F234" w14:textId="181FAE93" w:rsidR="00AE1DC8" w:rsidRPr="00D631DB" w:rsidRDefault="00AE1DC8" w:rsidP="00AE1DC8">
      <w:pPr>
        <w:pStyle w:val="ListParagraph"/>
        <w:numPr>
          <w:ilvl w:val="0"/>
          <w:numId w:val="2"/>
        </w:numPr>
        <w:ind w:left="360"/>
      </w:pPr>
      <w:r w:rsidRPr="00D631DB">
        <w:t xml:space="preserve">On the demand-side there is a </w:t>
      </w:r>
      <w:r w:rsidRPr="00D631DB">
        <w:rPr>
          <w:b/>
        </w:rPr>
        <w:t>lack of information and agency</w:t>
      </w:r>
      <w:r w:rsidRPr="00D631DB">
        <w:t xml:space="preserve"> </w:t>
      </w:r>
      <w:r w:rsidR="009A5759" w:rsidRPr="00D631DB">
        <w:t xml:space="preserve">because tenants cannot get hold of reliable data on </w:t>
      </w:r>
      <w:r w:rsidRPr="00D631DB">
        <w:t xml:space="preserve">energy performance </w:t>
      </w:r>
      <w:r w:rsidR="00592FC0" w:rsidRPr="00D631DB">
        <w:t xml:space="preserve">and therefore cannot </w:t>
      </w:r>
      <w:r w:rsidR="003965EF" w:rsidRPr="00D631DB">
        <w:t>make a compelling business case for choosing an efficien</w:t>
      </w:r>
      <w:r w:rsidR="00144712" w:rsidRPr="00D631DB">
        <w:t>t</w:t>
      </w:r>
      <w:r w:rsidR="003965EF" w:rsidRPr="00D631DB">
        <w:t xml:space="preserve"> building over a standard one</w:t>
      </w:r>
      <w:r w:rsidR="00F55A2C" w:rsidRPr="00D631DB">
        <w:t xml:space="preserve">. </w:t>
      </w:r>
    </w:p>
    <w:p w14:paraId="49F58C1B" w14:textId="5EF6E9D9" w:rsidR="00AE1DC8" w:rsidRPr="00D631DB" w:rsidRDefault="009F4EB0" w:rsidP="00AE1DC8">
      <w:pPr>
        <w:pStyle w:val="ListParagraph"/>
        <w:numPr>
          <w:ilvl w:val="0"/>
          <w:numId w:val="2"/>
        </w:numPr>
        <w:ind w:left="360"/>
      </w:pPr>
      <w:r w:rsidRPr="00D631DB">
        <w:t>T</w:t>
      </w:r>
      <w:r w:rsidR="007D5BF1" w:rsidRPr="00D631DB">
        <w:t>he</w:t>
      </w:r>
      <w:r w:rsidR="00AE1DC8" w:rsidRPr="00D631DB">
        <w:t xml:space="preserve"> supply-</w:t>
      </w:r>
      <w:r w:rsidR="007D5BF1" w:rsidRPr="00D631DB">
        <w:t>side</w:t>
      </w:r>
      <w:r w:rsidR="009D62A2" w:rsidRPr="00D631DB">
        <w:t xml:space="preserve"> is</w:t>
      </w:r>
      <w:r w:rsidR="00AE1DC8" w:rsidRPr="00D631DB">
        <w:t xml:space="preserve"> </w:t>
      </w:r>
      <w:r w:rsidR="00AE1DC8" w:rsidRPr="00D631DB">
        <w:rPr>
          <w:b/>
        </w:rPr>
        <w:t xml:space="preserve">complex and poorly co-ordinated </w:t>
      </w:r>
      <w:r w:rsidR="00AE1DC8" w:rsidRPr="00D631DB">
        <w:t xml:space="preserve">with a diverse stock and multiple players leading to a confusing “building journey”. There </w:t>
      </w:r>
      <w:r w:rsidR="00D631DB" w:rsidRPr="00D631DB">
        <w:t xml:space="preserve">are </w:t>
      </w:r>
      <w:r w:rsidR="00AE1DC8" w:rsidRPr="00D631DB">
        <w:t>also perverse incentives from fee structures, poor commissioning, lack of post-occupancy feedback and lack of accountability for outcomes.</w:t>
      </w:r>
      <w:r w:rsidR="009952CE" w:rsidRPr="00D631DB">
        <w:t xml:space="preserve"> The sector is also very reluctant to innovate.</w:t>
      </w:r>
    </w:p>
    <w:p w14:paraId="65072D33" w14:textId="254E1A33" w:rsidR="00DD09E9" w:rsidRPr="00D631DB" w:rsidRDefault="00DD09E9" w:rsidP="00DD09E9">
      <w:bookmarkStart w:id="0" w:name="_GoBack"/>
      <w:bookmarkEnd w:id="0"/>
    </w:p>
    <w:p w14:paraId="404FDB63" w14:textId="1861F2FC" w:rsidR="0051666D" w:rsidRDefault="0051666D" w:rsidP="00DD09E9">
      <w:r w:rsidRPr="00D631DB">
        <w:lastRenderedPageBreak/>
        <w:t xml:space="preserve">In short, </w:t>
      </w:r>
      <w:r w:rsidR="007F00FB" w:rsidRPr="00D631DB">
        <w:t>t</w:t>
      </w:r>
      <w:r w:rsidRPr="00D631DB">
        <w:t xml:space="preserve">enants who want an efficient building don’t </w:t>
      </w:r>
      <w:r w:rsidR="00CC3BE5" w:rsidRPr="00D631DB">
        <w:t>know which buildings are efficient</w:t>
      </w:r>
      <w:r w:rsidRPr="00D631DB">
        <w:t>, which depresses supply, because developers see no demand. The result is that classic “circle of blame”</w:t>
      </w:r>
      <w:r w:rsidR="00C00B41" w:rsidRPr="00D631DB">
        <w:t xml:space="preserve"> generated by the invisibility of operational performance</w:t>
      </w:r>
      <w:r w:rsidRPr="00D631DB">
        <w:t>.</w:t>
      </w:r>
    </w:p>
    <w:p w14:paraId="00B35DBB" w14:textId="7C1F7A8A" w:rsidR="00D631DB" w:rsidRDefault="00D631DB" w:rsidP="00DD09E9"/>
    <w:p w14:paraId="58C06E53" w14:textId="11467317" w:rsidR="008359BA" w:rsidRPr="00D631DB" w:rsidRDefault="00FB783C" w:rsidP="00DD09E9">
      <w:pPr>
        <w:outlineLvl w:val="0"/>
        <w:rPr>
          <w:b/>
        </w:rPr>
      </w:pPr>
      <w:r w:rsidRPr="00D631DB">
        <w:rPr>
          <w:b/>
        </w:rPr>
        <w:t>The Solution</w:t>
      </w:r>
    </w:p>
    <w:p w14:paraId="56B9E543" w14:textId="16D13236" w:rsidR="004C502A" w:rsidRPr="00D631DB" w:rsidRDefault="004C502A" w:rsidP="00DD09E9">
      <w:pPr>
        <w:outlineLvl w:val="0"/>
        <w:rPr>
          <w:b/>
        </w:rPr>
      </w:pPr>
    </w:p>
    <w:p w14:paraId="72800E91" w14:textId="40ACA358" w:rsidR="0089445E" w:rsidRPr="00D631DB" w:rsidRDefault="0004756E" w:rsidP="00DD09E9">
      <w:pPr>
        <w:outlineLvl w:val="0"/>
      </w:pPr>
      <w:r w:rsidRPr="00D631DB">
        <w:t>Commercial b</w:t>
      </w:r>
      <w:r w:rsidR="007A75E8" w:rsidRPr="00D631DB">
        <w:t>uildings are</w:t>
      </w:r>
      <w:r w:rsidR="0007259B" w:rsidRPr="00D631DB">
        <w:t xml:space="preserve"> </w:t>
      </w:r>
      <w:r w:rsidR="007A75E8" w:rsidRPr="00D631DB">
        <w:t xml:space="preserve">difficult </w:t>
      </w:r>
      <w:r w:rsidR="005E01ED" w:rsidRPr="00D631DB">
        <w:t xml:space="preserve">to </w:t>
      </w:r>
      <w:r w:rsidR="002C37A5" w:rsidRPr="00D631DB">
        <w:t>address</w:t>
      </w:r>
      <w:r w:rsidR="005E01ED" w:rsidRPr="00D631DB">
        <w:t xml:space="preserve"> </w:t>
      </w:r>
      <w:r w:rsidR="007A75E8" w:rsidRPr="00D631DB">
        <w:t>because</w:t>
      </w:r>
      <w:r w:rsidR="00694055" w:rsidRPr="00D631DB">
        <w:t xml:space="preserve"> of the huge variety of building types</w:t>
      </w:r>
      <w:r w:rsidR="00812ACB" w:rsidRPr="00D631DB">
        <w:t xml:space="preserve"> and uses</w:t>
      </w:r>
      <w:r w:rsidR="005F24D8" w:rsidRPr="00D631DB">
        <w:t xml:space="preserve"> and the complexity</w:t>
      </w:r>
      <w:r w:rsidR="0007259B" w:rsidRPr="00D631DB">
        <w:t xml:space="preserve"> and fragmentation</w:t>
      </w:r>
      <w:r w:rsidR="005F24D8" w:rsidRPr="00D631DB">
        <w:t xml:space="preserve"> of the supply side</w:t>
      </w:r>
      <w:r w:rsidR="00812ACB" w:rsidRPr="00D631DB">
        <w:t xml:space="preserve">. But </w:t>
      </w:r>
      <w:r w:rsidR="005F24D8" w:rsidRPr="00D631DB">
        <w:t xml:space="preserve">arguably </w:t>
      </w:r>
      <w:r w:rsidR="00812ACB" w:rsidRPr="00D631DB">
        <w:t>more challenging is the fact that</w:t>
      </w:r>
      <w:r w:rsidR="007A75E8" w:rsidRPr="00D631DB">
        <w:t xml:space="preserve"> </w:t>
      </w:r>
      <w:r w:rsidR="00232B3A" w:rsidRPr="00D631DB">
        <w:t>energy use</w:t>
      </w:r>
      <w:r w:rsidR="005E01ED" w:rsidRPr="00D631DB">
        <w:t xml:space="preserve"> in buildings</w:t>
      </w:r>
      <w:r w:rsidR="00232B3A" w:rsidRPr="00D631DB">
        <w:t xml:space="preserve"> </w:t>
      </w:r>
      <w:r w:rsidR="003B7037" w:rsidRPr="00D631DB">
        <w:t>involves both regulated and unregulated loads</w:t>
      </w:r>
      <w:r w:rsidR="00370F13" w:rsidRPr="00D631DB">
        <w:t xml:space="preserve">, and these loads are under the control of different actors: the </w:t>
      </w:r>
      <w:r w:rsidR="00237ECC" w:rsidRPr="00D631DB">
        <w:t xml:space="preserve">infamous </w:t>
      </w:r>
      <w:r w:rsidR="00DD22C4" w:rsidRPr="00D631DB">
        <w:t>landlord</w:t>
      </w:r>
      <w:r w:rsidR="00237ECC" w:rsidRPr="00D631DB">
        <w:t>/</w:t>
      </w:r>
      <w:r w:rsidR="00DD22C4" w:rsidRPr="00D631DB">
        <w:t xml:space="preserve">tenant </w:t>
      </w:r>
      <w:r w:rsidR="00237ECC" w:rsidRPr="00D631DB">
        <w:t>split</w:t>
      </w:r>
      <w:r w:rsidR="00DD22C4" w:rsidRPr="00D631DB">
        <w:t xml:space="preserve">. </w:t>
      </w:r>
    </w:p>
    <w:p w14:paraId="6FA4BC44" w14:textId="1DD780E1" w:rsidR="00DD22C4" w:rsidRPr="00D631DB" w:rsidRDefault="00DD22C4" w:rsidP="00DD09E9">
      <w:pPr>
        <w:outlineLvl w:val="0"/>
      </w:pPr>
    </w:p>
    <w:p w14:paraId="33546CE5" w14:textId="6AF886CE" w:rsidR="00056FA8" w:rsidRPr="00D631DB" w:rsidRDefault="00D32B7E" w:rsidP="005B2EA0">
      <w:pPr>
        <w:outlineLvl w:val="0"/>
      </w:pPr>
      <w:r w:rsidRPr="00D631DB">
        <w:t>Research shows that s</w:t>
      </w:r>
      <w:r w:rsidR="0007259B" w:rsidRPr="00D631DB">
        <w:t>uccessful p</w:t>
      </w:r>
      <w:r w:rsidR="00C30FDA" w:rsidRPr="00D631DB">
        <w:t>olicies</w:t>
      </w:r>
      <w:r w:rsidR="0007259B" w:rsidRPr="00D631DB">
        <w:t xml:space="preserve"> use a combination of</w:t>
      </w:r>
      <w:r w:rsidR="00C45D00" w:rsidRPr="00D631DB">
        <w:t xml:space="preserve"> </w:t>
      </w:r>
      <w:r w:rsidR="001A247C" w:rsidRPr="00D631DB">
        <w:t xml:space="preserve">in-use </w:t>
      </w:r>
      <w:r w:rsidR="002C37A5" w:rsidRPr="00D631DB">
        <w:t xml:space="preserve">energy </w:t>
      </w:r>
      <w:r w:rsidR="001A247C" w:rsidRPr="00D631DB">
        <w:t xml:space="preserve">performance </w:t>
      </w:r>
      <w:r w:rsidR="00F06EC3" w:rsidRPr="00D631DB">
        <w:t>ratings</w:t>
      </w:r>
      <w:r w:rsidR="0024409D" w:rsidRPr="00D631DB">
        <w:t xml:space="preserve"> and </w:t>
      </w:r>
      <w:r w:rsidR="00C30FDA" w:rsidRPr="00D631DB">
        <w:t>regulation</w:t>
      </w:r>
      <w:r w:rsidR="00356B04" w:rsidRPr="00D631DB">
        <w:t xml:space="preserve"> to generate </w:t>
      </w:r>
      <w:r w:rsidR="00392D06" w:rsidRPr="00D631DB">
        <w:t>“</w:t>
      </w:r>
      <w:r w:rsidR="00356B04" w:rsidRPr="00D631DB">
        <w:t>market</w:t>
      </w:r>
      <w:r w:rsidR="00AC732C" w:rsidRPr="00D631DB">
        <w:t xml:space="preserve"> pull” to complement </w:t>
      </w:r>
      <w:r w:rsidR="00392D06" w:rsidRPr="00D631DB">
        <w:t>the “te</w:t>
      </w:r>
      <w:r w:rsidR="00B73E96" w:rsidRPr="00D631DB">
        <w:t xml:space="preserve">chnology push” of </w:t>
      </w:r>
      <w:r w:rsidR="00BE630F" w:rsidRPr="00D631DB">
        <w:t>building</w:t>
      </w:r>
      <w:r w:rsidR="008B2440" w:rsidRPr="00D631DB">
        <w:t xml:space="preserve"> standards</w:t>
      </w:r>
      <w:r w:rsidR="00A51355" w:rsidRPr="00D631DB">
        <w:t xml:space="preserve">. </w:t>
      </w:r>
      <w:r w:rsidR="00BE630F" w:rsidRPr="00D631DB">
        <w:t>In Australia</w:t>
      </w:r>
      <w:r w:rsidR="005D608D" w:rsidRPr="00D631DB">
        <w:t xml:space="preserve"> the combination of </w:t>
      </w:r>
      <w:r w:rsidR="002C37A5" w:rsidRPr="00D631DB">
        <w:t xml:space="preserve">the </w:t>
      </w:r>
      <w:r w:rsidR="005D608D" w:rsidRPr="00D631DB">
        <w:t xml:space="preserve">NABERS </w:t>
      </w:r>
      <w:r w:rsidR="00914916" w:rsidRPr="00D631DB">
        <w:t>building</w:t>
      </w:r>
      <w:r w:rsidR="005D608D" w:rsidRPr="00D631DB">
        <w:t xml:space="preserve"> </w:t>
      </w:r>
      <w:r w:rsidR="00C00B41" w:rsidRPr="00D631DB">
        <w:t>ratings</w:t>
      </w:r>
      <w:r w:rsidR="00F1714E" w:rsidRPr="00D631DB">
        <w:t>, procurement standards</w:t>
      </w:r>
      <w:r w:rsidR="005D608D" w:rsidRPr="00D631DB">
        <w:t xml:space="preserve"> and</w:t>
      </w:r>
      <w:r w:rsidR="00397D6B" w:rsidRPr="00D631DB">
        <w:t xml:space="preserve"> </w:t>
      </w:r>
      <w:r w:rsidR="00F1714E" w:rsidRPr="00D631DB">
        <w:t xml:space="preserve">public </w:t>
      </w:r>
      <w:r w:rsidR="00397D6B" w:rsidRPr="00D631DB">
        <w:t>disclosure</w:t>
      </w:r>
      <w:r w:rsidR="00993B86" w:rsidRPr="00D631DB">
        <w:t xml:space="preserve"> </w:t>
      </w:r>
      <w:r w:rsidR="00F1714E" w:rsidRPr="00D631DB">
        <w:t>has</w:t>
      </w:r>
      <w:r w:rsidR="00486869" w:rsidRPr="00D631DB">
        <w:t xml:space="preserve"> cut</w:t>
      </w:r>
      <w:r w:rsidR="00106048" w:rsidRPr="00D631DB">
        <w:t xml:space="preserve"> </w:t>
      </w:r>
      <w:r w:rsidR="003904DD" w:rsidRPr="00D631DB">
        <w:t xml:space="preserve">CO2 </w:t>
      </w:r>
      <w:r w:rsidR="00F85602" w:rsidRPr="00D631DB">
        <w:t xml:space="preserve">emissions by </w:t>
      </w:r>
      <w:r w:rsidR="00155005" w:rsidRPr="00D631DB">
        <w:t xml:space="preserve">32% </w:t>
      </w:r>
      <w:r w:rsidR="003904DD" w:rsidRPr="00D631DB">
        <w:t xml:space="preserve">since 2005 </w:t>
      </w:r>
      <w:r w:rsidR="00BF3446" w:rsidRPr="00D631DB">
        <w:t xml:space="preserve">and </w:t>
      </w:r>
      <w:r w:rsidR="002253B8" w:rsidRPr="00D631DB">
        <w:t xml:space="preserve">increased energy productivity </w:t>
      </w:r>
      <w:r w:rsidR="00695D10" w:rsidRPr="00D631DB">
        <w:t xml:space="preserve">in offices </w:t>
      </w:r>
      <w:r w:rsidR="002253B8" w:rsidRPr="00D631DB">
        <w:t xml:space="preserve">by </w:t>
      </w:r>
      <w:r w:rsidR="00C00B41" w:rsidRPr="00D631DB">
        <w:t xml:space="preserve">over </w:t>
      </w:r>
      <w:r w:rsidR="00B839CD" w:rsidRPr="00D631DB">
        <w:t>40</w:t>
      </w:r>
      <w:r w:rsidR="002253B8" w:rsidRPr="00D631DB">
        <w:t>%</w:t>
      </w:r>
      <w:r w:rsidR="00155005" w:rsidRPr="00D631DB">
        <w:t xml:space="preserve"> since 2001.</w:t>
      </w:r>
      <w:r w:rsidR="0033156D" w:rsidRPr="00D631DB">
        <w:t xml:space="preserve"> </w:t>
      </w:r>
    </w:p>
    <w:p w14:paraId="40F54803" w14:textId="77777777" w:rsidR="002D2798" w:rsidRPr="00D631DB" w:rsidRDefault="002D2798" w:rsidP="005B2EA0">
      <w:pPr>
        <w:outlineLvl w:val="0"/>
      </w:pPr>
    </w:p>
    <w:p w14:paraId="2D85F933" w14:textId="781F9FF0" w:rsidR="000F5EEC" w:rsidRPr="00D631DB" w:rsidRDefault="00306350" w:rsidP="005B2EA0">
      <w:pPr>
        <w:outlineLvl w:val="0"/>
      </w:pPr>
      <w:r w:rsidRPr="00D631DB">
        <w:t xml:space="preserve">The </w:t>
      </w:r>
      <w:r w:rsidR="00924897" w:rsidRPr="00D631DB">
        <w:t>‘</w:t>
      </w:r>
      <w:r w:rsidR="00DB6B2E" w:rsidRPr="00D631DB">
        <w:t>multiple benefits</w:t>
      </w:r>
      <w:r w:rsidR="00924897" w:rsidRPr="00D631DB">
        <w:t>’</w:t>
      </w:r>
      <w:r w:rsidR="00BD5E5F" w:rsidRPr="00D631DB">
        <w:t xml:space="preserve"> </w:t>
      </w:r>
      <w:r w:rsidRPr="00D631DB">
        <w:t xml:space="preserve">impact </w:t>
      </w:r>
      <w:r w:rsidR="00C512BC" w:rsidRPr="00D631DB">
        <w:t>is</w:t>
      </w:r>
      <w:r w:rsidRPr="00D631DB">
        <w:t xml:space="preserve"> </w:t>
      </w:r>
      <w:r w:rsidR="007F7907" w:rsidRPr="00D631DB">
        <w:t xml:space="preserve">arguably </w:t>
      </w:r>
      <w:r w:rsidR="002F08D9" w:rsidRPr="00D631DB">
        <w:t xml:space="preserve">more </w:t>
      </w:r>
      <w:r w:rsidRPr="00D631DB">
        <w:t xml:space="preserve">significant. </w:t>
      </w:r>
      <w:r w:rsidR="00CF10FD" w:rsidRPr="00D631DB">
        <w:t xml:space="preserve">Developers and </w:t>
      </w:r>
      <w:r w:rsidR="00C00B41" w:rsidRPr="00D631DB">
        <w:t xml:space="preserve">investors </w:t>
      </w:r>
      <w:r w:rsidR="00CF10FD" w:rsidRPr="00D631DB">
        <w:t>see</w:t>
      </w:r>
      <w:r w:rsidR="00C512BC" w:rsidRPr="00D631DB">
        <w:t xml:space="preserve"> better returns from highly rated buildin</w:t>
      </w:r>
      <w:r w:rsidR="00FF3C8B" w:rsidRPr="00D631DB">
        <w:t xml:space="preserve">gs, which </w:t>
      </w:r>
      <w:r w:rsidR="00924897" w:rsidRPr="00D631DB">
        <w:t xml:space="preserve">have become </w:t>
      </w:r>
      <w:r w:rsidR="00B64005" w:rsidRPr="00D631DB">
        <w:t>an investment standard</w:t>
      </w:r>
      <w:r w:rsidR="00C512BC" w:rsidRPr="00D631DB">
        <w:t xml:space="preserve">. </w:t>
      </w:r>
      <w:r w:rsidR="00C71DF4" w:rsidRPr="00D631DB">
        <w:t xml:space="preserve">Tenants see lower </w:t>
      </w:r>
      <w:r w:rsidR="00C00B41" w:rsidRPr="00D631DB">
        <w:t>costs of occupancy</w:t>
      </w:r>
      <w:r w:rsidR="00C71DF4" w:rsidRPr="00D631DB">
        <w:t xml:space="preserve">, higher workforce productivity and </w:t>
      </w:r>
      <w:r w:rsidR="00724765" w:rsidRPr="00D631DB">
        <w:t xml:space="preserve">reputational advantages. </w:t>
      </w:r>
      <w:r w:rsidR="00EB7C72" w:rsidRPr="00D631DB">
        <w:t xml:space="preserve">But wider </w:t>
      </w:r>
      <w:r w:rsidR="00423DCD" w:rsidRPr="00D631DB">
        <w:t xml:space="preserve">productivity </w:t>
      </w:r>
      <w:r w:rsidR="00EB7C72" w:rsidRPr="00D631DB">
        <w:t xml:space="preserve">benefits are emerging: </w:t>
      </w:r>
      <w:r w:rsidR="004F702B" w:rsidRPr="00D631DB">
        <w:t>start-ups</w:t>
      </w:r>
      <w:r w:rsidR="00EB7C72" w:rsidRPr="00D631DB">
        <w:t xml:space="preserve"> are exploiting the </w:t>
      </w:r>
      <w:r w:rsidR="00704311" w:rsidRPr="00D631DB">
        <w:t xml:space="preserve">“performance culture” </w:t>
      </w:r>
      <w:r w:rsidR="00BA1234" w:rsidRPr="00D631DB">
        <w:t>with</w:t>
      </w:r>
      <w:r w:rsidR="00704311" w:rsidRPr="00D631DB">
        <w:t xml:space="preserve"> new </w:t>
      </w:r>
      <w:r w:rsidR="00397D6B" w:rsidRPr="00D631DB">
        <w:t>digital apps and services</w:t>
      </w:r>
      <w:r w:rsidR="00A04CFD" w:rsidRPr="00D631DB">
        <w:t xml:space="preserve"> and </w:t>
      </w:r>
      <w:r w:rsidR="00FF3E68" w:rsidRPr="00D631DB">
        <w:t xml:space="preserve">energy professionals are </w:t>
      </w:r>
      <w:r w:rsidR="00077E53" w:rsidRPr="00D631DB">
        <w:t>getting better at making the investment case for energy efficiency</w:t>
      </w:r>
      <w:r w:rsidR="00397D6B" w:rsidRPr="00D631DB">
        <w:t>.</w:t>
      </w:r>
      <w:r w:rsidR="009A44AD" w:rsidRPr="00D631DB">
        <w:t xml:space="preserve"> </w:t>
      </w:r>
    </w:p>
    <w:p w14:paraId="6A93CB54" w14:textId="77777777" w:rsidR="000F5EEC" w:rsidRPr="00D631DB" w:rsidRDefault="000F5EEC" w:rsidP="005B2EA0">
      <w:pPr>
        <w:outlineLvl w:val="0"/>
      </w:pPr>
    </w:p>
    <w:p w14:paraId="0533692C" w14:textId="07F1259E" w:rsidR="002B7C91" w:rsidRPr="00D631DB" w:rsidRDefault="002F08D9" w:rsidP="005B2EA0">
      <w:pPr>
        <w:outlineLvl w:val="0"/>
      </w:pPr>
      <w:r w:rsidRPr="00D631DB">
        <w:t>Several studies have looked at</w:t>
      </w:r>
      <w:r w:rsidR="00BF1FD9" w:rsidRPr="00D631DB">
        <w:t xml:space="preserve"> the success of the Australian programmes</w:t>
      </w:r>
      <w:r w:rsidRPr="00D631DB">
        <w:t xml:space="preserve"> and</w:t>
      </w:r>
      <w:r w:rsidR="00211914" w:rsidRPr="00D631DB">
        <w:t xml:space="preserve"> there </w:t>
      </w:r>
      <w:r w:rsidR="00CF68EC" w:rsidRPr="00D631DB">
        <w:t xml:space="preserve">are </w:t>
      </w:r>
      <w:r w:rsidR="004250E3" w:rsidRPr="00D631DB">
        <w:t>8</w:t>
      </w:r>
      <w:r w:rsidR="00211914" w:rsidRPr="00D631DB">
        <w:t xml:space="preserve"> key </w:t>
      </w:r>
      <w:r w:rsidR="00C06505" w:rsidRPr="00D631DB">
        <w:t>elements</w:t>
      </w:r>
      <w:r w:rsidR="000C5537" w:rsidRPr="00D631DB">
        <w:t>:</w:t>
      </w:r>
    </w:p>
    <w:p w14:paraId="028CEB30" w14:textId="73275273" w:rsidR="000C5537" w:rsidRPr="00D631DB" w:rsidRDefault="000C5537" w:rsidP="005B2EA0">
      <w:pPr>
        <w:outlineLvl w:val="0"/>
      </w:pPr>
    </w:p>
    <w:p w14:paraId="35D21AC3" w14:textId="594B8A58" w:rsidR="004250E3" w:rsidRPr="00D631DB" w:rsidRDefault="00D631DB" w:rsidP="00CC6B45">
      <w:pPr>
        <w:pStyle w:val="ListParagraph"/>
        <w:numPr>
          <w:ilvl w:val="0"/>
          <w:numId w:val="5"/>
        </w:numPr>
        <w:outlineLvl w:val="0"/>
      </w:pPr>
      <w:r>
        <w:t>They are</w:t>
      </w:r>
      <w:r w:rsidR="00635446" w:rsidRPr="00D631DB">
        <w:t xml:space="preserve"> i</w:t>
      </w:r>
      <w:r w:rsidR="004250E3" w:rsidRPr="00D631DB">
        <w:t xml:space="preserve">ndustry-led and </w:t>
      </w:r>
      <w:r w:rsidR="00C00B41" w:rsidRPr="00D631DB">
        <w:t xml:space="preserve">financially </w:t>
      </w:r>
      <w:r w:rsidR="004250E3" w:rsidRPr="00D631DB">
        <w:t>self-</w:t>
      </w:r>
      <w:r w:rsidR="00C00B41" w:rsidRPr="00D631DB">
        <w:t>sustaining</w:t>
      </w:r>
      <w:r w:rsidR="004250E3" w:rsidRPr="00D631DB">
        <w:t xml:space="preserve">, but with </w:t>
      </w:r>
      <w:r w:rsidR="00CC5553" w:rsidRPr="00D631DB">
        <w:t>clear and substantive involvement from government</w:t>
      </w:r>
      <w:r w:rsidR="00FD0CCE" w:rsidRPr="00D631DB">
        <w:t xml:space="preserve"> to</w:t>
      </w:r>
      <w:r w:rsidR="00635446" w:rsidRPr="00D631DB">
        <w:t xml:space="preserve"> provide support</w:t>
      </w:r>
      <w:r w:rsidR="00FD0CCE" w:rsidRPr="00D631DB">
        <w:t xml:space="preserve"> and ensure accountability.</w:t>
      </w:r>
    </w:p>
    <w:p w14:paraId="78AEFFE9" w14:textId="46A03291" w:rsidR="00D1281A" w:rsidRPr="00D631DB" w:rsidRDefault="00D1281A" w:rsidP="00D1281A">
      <w:pPr>
        <w:pStyle w:val="ListParagraph"/>
        <w:numPr>
          <w:ilvl w:val="0"/>
          <w:numId w:val="5"/>
        </w:numPr>
        <w:outlineLvl w:val="0"/>
      </w:pPr>
      <w:r w:rsidRPr="00D631DB">
        <w:t xml:space="preserve">Early “soft regulation” was used in the form of </w:t>
      </w:r>
      <w:r w:rsidR="00F37D81" w:rsidRPr="00D631DB">
        <w:t>government</w:t>
      </w:r>
      <w:r w:rsidRPr="00D631DB">
        <w:t xml:space="preserve"> procurement standards, with 4.5 stars set as the minimum for government tenants.</w:t>
      </w:r>
    </w:p>
    <w:p w14:paraId="3F3F410A" w14:textId="077C260C" w:rsidR="00D1281A" w:rsidRPr="00D631DB" w:rsidRDefault="00D1281A" w:rsidP="00D1281A">
      <w:pPr>
        <w:pStyle w:val="ListParagraph"/>
        <w:numPr>
          <w:ilvl w:val="0"/>
          <w:numId w:val="5"/>
        </w:numPr>
        <w:outlineLvl w:val="0"/>
      </w:pPr>
      <w:r w:rsidRPr="00D631DB">
        <w:t xml:space="preserve">Mandatory disclosure of </w:t>
      </w:r>
      <w:r w:rsidR="0065679B" w:rsidRPr="00D631DB">
        <w:t xml:space="preserve">operational </w:t>
      </w:r>
      <w:r w:rsidRPr="00D631DB">
        <w:t xml:space="preserve">energy performance ratings </w:t>
      </w:r>
      <w:r w:rsidR="00BB338A" w:rsidRPr="00D631DB">
        <w:t>was</w:t>
      </w:r>
      <w:r w:rsidR="00A165D1" w:rsidRPr="00D631DB">
        <w:t xml:space="preserve"> introduced </w:t>
      </w:r>
      <w:r w:rsidRPr="00D631DB">
        <w:t xml:space="preserve">to accelerate the </w:t>
      </w:r>
      <w:r w:rsidR="00C00B41" w:rsidRPr="00D631DB">
        <w:t xml:space="preserve">upgrade </w:t>
      </w:r>
      <w:r w:rsidRPr="00D631DB">
        <w:t>of the worst performing buildings.</w:t>
      </w:r>
    </w:p>
    <w:p w14:paraId="21AD983F" w14:textId="6A28AF18" w:rsidR="0065448E" w:rsidRPr="00D631DB" w:rsidRDefault="00036A7B" w:rsidP="00CC6B45">
      <w:pPr>
        <w:pStyle w:val="ListParagraph"/>
        <w:numPr>
          <w:ilvl w:val="0"/>
          <w:numId w:val="5"/>
        </w:numPr>
        <w:outlineLvl w:val="0"/>
      </w:pPr>
      <w:r w:rsidRPr="00D631DB">
        <w:t>A clear</w:t>
      </w:r>
      <w:r w:rsidR="00C04FDD" w:rsidRPr="00D631DB">
        <w:t xml:space="preserve"> </w:t>
      </w:r>
      <w:r w:rsidR="00C5471F" w:rsidRPr="00D631DB">
        <w:t xml:space="preserve">and transparent </w:t>
      </w:r>
      <w:r w:rsidR="00C04FDD" w:rsidRPr="00D631DB">
        <w:t xml:space="preserve">labelling scheme that </w:t>
      </w:r>
      <w:r w:rsidRPr="00D631DB">
        <w:t>frames</w:t>
      </w:r>
      <w:r w:rsidR="00B16FA8" w:rsidRPr="00D631DB">
        <w:t xml:space="preserve"> the performance of the building in a positive</w:t>
      </w:r>
      <w:r w:rsidR="00A03A23" w:rsidRPr="00D631DB">
        <w:t xml:space="preserve"> way so that the focus is on reward </w:t>
      </w:r>
      <w:r w:rsidR="002378F1" w:rsidRPr="00D631DB">
        <w:t>(</w:t>
      </w:r>
      <w:r w:rsidR="00E15C25" w:rsidRPr="00D631DB">
        <w:t>1-</w:t>
      </w:r>
      <w:r w:rsidR="002378F1" w:rsidRPr="00D631DB">
        <w:t xml:space="preserve">6 stars) </w:t>
      </w:r>
      <w:r w:rsidR="00A03A23" w:rsidRPr="00D631DB">
        <w:t>rather than penalty</w:t>
      </w:r>
      <w:r w:rsidR="00E15C25" w:rsidRPr="00D631DB">
        <w:t xml:space="preserve"> (A to G).</w:t>
      </w:r>
    </w:p>
    <w:p w14:paraId="41AC0BAF" w14:textId="77D5E7CB" w:rsidR="00C2127A" w:rsidRPr="00D631DB" w:rsidRDefault="00E57CC0" w:rsidP="00CC6B45">
      <w:pPr>
        <w:pStyle w:val="ListParagraph"/>
        <w:numPr>
          <w:ilvl w:val="0"/>
          <w:numId w:val="5"/>
        </w:numPr>
        <w:outlineLvl w:val="0"/>
      </w:pPr>
      <w:r w:rsidRPr="00D631DB">
        <w:t xml:space="preserve">To </w:t>
      </w:r>
      <w:r w:rsidR="0065679B" w:rsidRPr="00D631DB">
        <w:t>engage the key stakeholders (developers, owners and investors)</w:t>
      </w:r>
      <w:r w:rsidR="00E57A89" w:rsidRPr="00D631DB">
        <w:t>, a</w:t>
      </w:r>
      <w:r w:rsidR="00663B85" w:rsidRPr="00D631DB">
        <w:t xml:space="preserve">n initial </w:t>
      </w:r>
      <w:r w:rsidR="00E43EB8" w:rsidRPr="00D631DB">
        <w:t xml:space="preserve">focus only on </w:t>
      </w:r>
      <w:r w:rsidR="00663B85" w:rsidRPr="00D631DB">
        <w:t>the parts of the building controlled by the landlord: the “base building”</w:t>
      </w:r>
      <w:r w:rsidR="00510A8F" w:rsidRPr="00D631DB">
        <w:t>.</w:t>
      </w:r>
    </w:p>
    <w:p w14:paraId="62322363" w14:textId="642A4184" w:rsidR="00A43910" w:rsidRPr="00D631DB" w:rsidRDefault="00360D05" w:rsidP="00CC6B45">
      <w:pPr>
        <w:pStyle w:val="ListParagraph"/>
        <w:numPr>
          <w:ilvl w:val="0"/>
          <w:numId w:val="5"/>
        </w:numPr>
        <w:outlineLvl w:val="0"/>
      </w:pPr>
      <w:r w:rsidRPr="00D631DB">
        <w:t>The</w:t>
      </w:r>
      <w:r w:rsidR="00C5471F" w:rsidRPr="00D631DB">
        <w:t xml:space="preserve"> </w:t>
      </w:r>
      <w:r w:rsidR="00FF69A5" w:rsidRPr="00D631DB">
        <w:t xml:space="preserve">calculation </w:t>
      </w:r>
      <w:r w:rsidR="00C5471F" w:rsidRPr="00D631DB">
        <w:t xml:space="preserve">and data capture </w:t>
      </w:r>
      <w:r w:rsidR="005A2193" w:rsidRPr="00D631DB">
        <w:t>methodology</w:t>
      </w:r>
      <w:r w:rsidR="00AF25DB" w:rsidRPr="00D631DB">
        <w:t xml:space="preserve"> is </w:t>
      </w:r>
      <w:r w:rsidR="005A2193" w:rsidRPr="00D631DB">
        <w:t xml:space="preserve">flexible </w:t>
      </w:r>
      <w:r w:rsidR="0065679B" w:rsidRPr="00D631DB">
        <w:t>s</w:t>
      </w:r>
      <w:r w:rsidR="005A2193" w:rsidRPr="00D631DB">
        <w:t>o that it can adjust in the light of experience and</w:t>
      </w:r>
      <w:r w:rsidR="00080761" w:rsidRPr="00D631DB">
        <w:t xml:space="preserve"> as the market begins to transform</w:t>
      </w:r>
      <w:r w:rsidR="00FF69A5" w:rsidRPr="00D631DB">
        <w:t>.</w:t>
      </w:r>
    </w:p>
    <w:p w14:paraId="188640B7" w14:textId="5E4C6118" w:rsidR="00FA1E2C" w:rsidRPr="00D631DB" w:rsidRDefault="00A339D6" w:rsidP="00CC6B45">
      <w:pPr>
        <w:pStyle w:val="ListParagraph"/>
        <w:numPr>
          <w:ilvl w:val="0"/>
          <w:numId w:val="5"/>
        </w:numPr>
        <w:outlineLvl w:val="0"/>
      </w:pPr>
      <w:r w:rsidRPr="00D631DB">
        <w:t xml:space="preserve">Effective marketing and dissemination </w:t>
      </w:r>
      <w:r w:rsidR="00360D05" w:rsidRPr="00D631DB">
        <w:t xml:space="preserve">is used </w:t>
      </w:r>
      <w:r w:rsidRPr="00D631DB">
        <w:t xml:space="preserve">to promote the </w:t>
      </w:r>
      <w:r w:rsidR="000B153F" w:rsidRPr="00D631DB">
        <w:t xml:space="preserve">productivity </w:t>
      </w:r>
      <w:r w:rsidRPr="00D631DB">
        <w:t>benefit</w:t>
      </w:r>
      <w:r w:rsidR="000B153F" w:rsidRPr="00D631DB">
        <w:t>s</w:t>
      </w:r>
      <w:r w:rsidRPr="00D631DB">
        <w:t xml:space="preserve"> of </w:t>
      </w:r>
      <w:r w:rsidR="00027D7E" w:rsidRPr="00D631DB">
        <w:t>efficient buildings</w:t>
      </w:r>
      <w:r w:rsidR="00E06733" w:rsidRPr="00D631DB">
        <w:t xml:space="preserve"> to businesses and investors</w:t>
      </w:r>
      <w:r w:rsidR="00027D7E" w:rsidRPr="00D631DB">
        <w:t xml:space="preserve"> and to showcase </w:t>
      </w:r>
      <w:r w:rsidR="000B153F" w:rsidRPr="00D631DB">
        <w:t>market leaders</w:t>
      </w:r>
      <w:r w:rsidR="00C06505" w:rsidRPr="00D631DB">
        <w:t>.</w:t>
      </w:r>
    </w:p>
    <w:p w14:paraId="26680F84" w14:textId="519F57FE" w:rsidR="00EC7CB9" w:rsidRPr="00D631DB" w:rsidRDefault="00EC7CB9" w:rsidP="008F6D38"/>
    <w:p w14:paraId="75EF8CBD" w14:textId="604489CF" w:rsidR="00EC7CB9" w:rsidRPr="00D631DB" w:rsidRDefault="008B2440" w:rsidP="008F6D38">
      <w:pPr>
        <w:rPr>
          <w:b/>
        </w:rPr>
      </w:pPr>
      <w:r w:rsidRPr="00D631DB">
        <w:rPr>
          <w:b/>
        </w:rPr>
        <w:t>A policy roadmap for the UK</w:t>
      </w:r>
    </w:p>
    <w:p w14:paraId="099F0475" w14:textId="2340DFB7" w:rsidR="00B0242E" w:rsidRPr="00D631DB" w:rsidRDefault="00B0242E" w:rsidP="00DD09E9"/>
    <w:p w14:paraId="65EA4962" w14:textId="7C569E61" w:rsidR="00D80B49" w:rsidRPr="00D631DB" w:rsidRDefault="00D80B49" w:rsidP="00D80B49">
      <w:pPr>
        <w:outlineLvl w:val="0"/>
      </w:pPr>
      <w:r w:rsidRPr="00D631DB">
        <w:t xml:space="preserve">It is telling that </w:t>
      </w:r>
      <w:r w:rsidR="00AB1501" w:rsidRPr="00D631DB">
        <w:t xml:space="preserve">commercial </w:t>
      </w:r>
      <w:r w:rsidRPr="00D631DB">
        <w:t xml:space="preserve">buildings in Melbourne are now between 2 and 4 times as efficient as their equivalents in London. But could </w:t>
      </w:r>
      <w:r w:rsidR="00141DF7" w:rsidRPr="00D631DB">
        <w:t>we</w:t>
      </w:r>
      <w:r w:rsidRPr="00D631DB">
        <w:t xml:space="preserve"> emulate the Australian experience</w:t>
      </w:r>
      <w:r w:rsidR="00EA1B20" w:rsidRPr="00D631DB">
        <w:t xml:space="preserve"> and introduce a </w:t>
      </w:r>
      <w:r w:rsidR="006D7F3D" w:rsidRPr="00D631DB">
        <w:t xml:space="preserve">similar energy </w:t>
      </w:r>
      <w:r w:rsidR="00EA1B20" w:rsidRPr="00D631DB">
        <w:t>performance-based policy</w:t>
      </w:r>
      <w:r w:rsidR="00141DF7" w:rsidRPr="00D631DB">
        <w:t xml:space="preserve"> in the UK</w:t>
      </w:r>
      <w:r w:rsidRPr="00D631DB">
        <w:t>?</w:t>
      </w:r>
    </w:p>
    <w:p w14:paraId="5153FABF" w14:textId="1DC74562" w:rsidR="0016301B" w:rsidRPr="00D631DB" w:rsidRDefault="0016301B" w:rsidP="00D80B49">
      <w:pPr>
        <w:outlineLvl w:val="0"/>
      </w:pPr>
    </w:p>
    <w:p w14:paraId="2C671364" w14:textId="28E9CBCF" w:rsidR="00924897" w:rsidRPr="00D631DB" w:rsidRDefault="0016301B" w:rsidP="00924897">
      <w:pPr>
        <w:outlineLvl w:val="0"/>
      </w:pPr>
      <w:r w:rsidRPr="00D631DB">
        <w:t xml:space="preserve">The UK has </w:t>
      </w:r>
      <w:r w:rsidR="00141DF7" w:rsidRPr="00D631DB">
        <w:t>several</w:t>
      </w:r>
      <w:r w:rsidRPr="00D631DB">
        <w:t xml:space="preserve"> </w:t>
      </w:r>
      <w:r w:rsidR="00A66ADE" w:rsidRPr="00D631DB">
        <w:t>key elements already in place</w:t>
      </w:r>
      <w:r w:rsidR="00924897" w:rsidRPr="00D631DB">
        <w:t>, upon which a new package of measures could readily</w:t>
      </w:r>
      <w:r w:rsidR="002542A7" w:rsidRPr="00D631DB">
        <w:t xml:space="preserve"> be built</w:t>
      </w:r>
      <w:r w:rsidR="00924897" w:rsidRPr="00D631DB">
        <w:t>:</w:t>
      </w:r>
      <w:r w:rsidR="00A66ADE" w:rsidRPr="00D631DB">
        <w:t xml:space="preserve"> </w:t>
      </w:r>
    </w:p>
    <w:p w14:paraId="6714C538" w14:textId="2A2CC2D3" w:rsidR="00924897" w:rsidRPr="00D631DB" w:rsidRDefault="00924897" w:rsidP="00D631DB">
      <w:pPr>
        <w:pStyle w:val="ListParagraph"/>
        <w:numPr>
          <w:ilvl w:val="0"/>
          <w:numId w:val="9"/>
        </w:numPr>
        <w:outlineLvl w:val="0"/>
      </w:pPr>
      <w:r w:rsidRPr="00D631DB">
        <w:t>The technical and regulatory infrastructure underpinning Building Regulations</w:t>
      </w:r>
      <w:r w:rsidR="0065679B" w:rsidRPr="00D631DB">
        <w:t xml:space="preserve"> which enable minimum theoretical performance standards in the form of MEES</w:t>
      </w:r>
    </w:p>
    <w:p w14:paraId="22797AC1" w14:textId="2B5CC4C2" w:rsidR="00924897" w:rsidRPr="00D631DB" w:rsidRDefault="0065679B" w:rsidP="00D631DB">
      <w:pPr>
        <w:pStyle w:val="ListParagraph"/>
        <w:numPr>
          <w:ilvl w:val="0"/>
          <w:numId w:val="8"/>
        </w:numPr>
        <w:outlineLvl w:val="0"/>
      </w:pPr>
      <w:r w:rsidRPr="00D631DB">
        <w:t>Operational p</w:t>
      </w:r>
      <w:r w:rsidR="002768DE" w:rsidRPr="00D631DB">
        <w:t xml:space="preserve">erformance ratings in the form of </w:t>
      </w:r>
      <w:r w:rsidR="00D517C1" w:rsidRPr="00D631DB">
        <w:t>Display Energy Certificates</w:t>
      </w:r>
      <w:r w:rsidR="00924897" w:rsidRPr="00D631DB">
        <w:t xml:space="preserve">; along with the existing DEC infrastructure, including the Central Register, an extensive network of trained and accredited energy </w:t>
      </w:r>
      <w:r w:rsidR="007A41C2" w:rsidRPr="00D631DB">
        <w:t xml:space="preserve">rating </w:t>
      </w:r>
      <w:r w:rsidR="00924897" w:rsidRPr="00D631DB">
        <w:t>assessors, a group of accreditation schemes and various packages of dedicated software</w:t>
      </w:r>
    </w:p>
    <w:p w14:paraId="7C824D43" w14:textId="46D1357C" w:rsidR="00924897" w:rsidRPr="00D631DB" w:rsidRDefault="00924897" w:rsidP="00D631DB">
      <w:pPr>
        <w:pStyle w:val="ListParagraph"/>
        <w:numPr>
          <w:ilvl w:val="0"/>
          <w:numId w:val="7"/>
        </w:numPr>
        <w:outlineLvl w:val="0"/>
      </w:pPr>
      <w:r w:rsidRPr="00D631DB">
        <w:t>G</w:t>
      </w:r>
      <w:r w:rsidR="004E0C68" w:rsidRPr="00D631DB">
        <w:t>ood</w:t>
      </w:r>
      <w:r w:rsidR="0006669D" w:rsidRPr="00D631DB">
        <w:t xml:space="preserve"> </w:t>
      </w:r>
      <w:r w:rsidR="00EC2DC5" w:rsidRPr="00D631DB">
        <w:t xml:space="preserve">public procurement </w:t>
      </w:r>
      <w:r w:rsidR="004E0C68" w:rsidRPr="00D631DB">
        <w:t>experience</w:t>
      </w:r>
    </w:p>
    <w:p w14:paraId="00BD8BD5" w14:textId="7CCE416D" w:rsidR="0016301B" w:rsidRPr="00D631DB" w:rsidRDefault="00924897" w:rsidP="00D631DB">
      <w:pPr>
        <w:pStyle w:val="ListParagraph"/>
        <w:numPr>
          <w:ilvl w:val="0"/>
          <w:numId w:val="7"/>
        </w:numPr>
        <w:outlineLvl w:val="0"/>
      </w:pPr>
      <w:r w:rsidRPr="00D631DB">
        <w:lastRenderedPageBreak/>
        <w:t>An i</w:t>
      </w:r>
      <w:r w:rsidR="00EA1B20" w:rsidRPr="00D631DB">
        <w:t>ndustry</w:t>
      </w:r>
      <w:r w:rsidRPr="00D631DB">
        <w:t xml:space="preserve"> which</w:t>
      </w:r>
      <w:r w:rsidR="00EA1B20" w:rsidRPr="00D631DB">
        <w:t xml:space="preserve"> is beginning to gear up</w:t>
      </w:r>
      <w:r w:rsidR="00141DF7" w:rsidRPr="00D631DB">
        <w:t xml:space="preserve"> through</w:t>
      </w:r>
      <w:r w:rsidR="00EA1B20" w:rsidRPr="00D631DB">
        <w:t xml:space="preserve"> the Better Buildings Partnership</w:t>
      </w:r>
      <w:r w:rsidR="00224DEA" w:rsidRPr="00D631DB">
        <w:t xml:space="preserve"> Design for Performance pilots</w:t>
      </w:r>
      <w:r w:rsidR="009A7CD4" w:rsidRPr="00D631DB">
        <w:t xml:space="preserve"> </w:t>
      </w:r>
    </w:p>
    <w:p w14:paraId="7220BCF8" w14:textId="6CFE776B" w:rsidR="009A7CD4" w:rsidRPr="00D631DB" w:rsidRDefault="009A7CD4" w:rsidP="00D80B49">
      <w:pPr>
        <w:outlineLvl w:val="0"/>
      </w:pPr>
    </w:p>
    <w:p w14:paraId="7938317D" w14:textId="72B50AE1" w:rsidR="009A7CD4" w:rsidRPr="00D631DB" w:rsidRDefault="00924897" w:rsidP="00D80B49">
      <w:pPr>
        <w:outlineLvl w:val="0"/>
      </w:pPr>
      <w:r w:rsidRPr="00D631DB">
        <w:t>These are excellent foundations upon which to build a programme akin to the transformational Australian one.</w:t>
      </w:r>
      <w:r w:rsidR="00836DB2">
        <w:t xml:space="preserve">  Assuming that an ideal endpoint is for measured base building ratings to be in place for all new and existing buildings by 2030, </w:t>
      </w:r>
      <w:r w:rsidR="002542A7" w:rsidRPr="00D631DB">
        <w:t xml:space="preserve">what might a UK trajectory </w:t>
      </w:r>
      <w:r w:rsidR="00A6251E" w:rsidRPr="00D631DB">
        <w:t xml:space="preserve">look like over the </w:t>
      </w:r>
      <w:r w:rsidR="00836DB2">
        <w:t>intervening years</w:t>
      </w:r>
      <w:r w:rsidR="00A6251E" w:rsidRPr="00D631DB">
        <w:t>?</w:t>
      </w:r>
      <w:r w:rsidR="002542A7" w:rsidRPr="00D631DB">
        <w:t xml:space="preserve">  An indicative roadma</w:t>
      </w:r>
      <w:r w:rsidR="00D631DB" w:rsidRPr="00D631DB">
        <w:t>p is set out for discussion below</w:t>
      </w:r>
      <w:r w:rsidR="002542A7" w:rsidRPr="00D631DB">
        <w:t>:</w:t>
      </w:r>
    </w:p>
    <w:p w14:paraId="4E1101E7" w14:textId="71A15E1E" w:rsidR="00A6251E" w:rsidRPr="00D631DB" w:rsidRDefault="00A6251E" w:rsidP="00D80B49">
      <w:pPr>
        <w:outlineLvl w:val="0"/>
      </w:pPr>
    </w:p>
    <w:p w14:paraId="61E9E57B" w14:textId="65158D27" w:rsidR="00D631DB" w:rsidRPr="00D631DB" w:rsidRDefault="00D631DB" w:rsidP="00D80B49">
      <w:pPr>
        <w:outlineLvl w:val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1110"/>
        <w:gridCol w:w="1573"/>
        <w:gridCol w:w="1084"/>
        <w:gridCol w:w="1349"/>
        <w:gridCol w:w="1084"/>
        <w:gridCol w:w="1275"/>
      </w:tblGrid>
      <w:tr w:rsidR="00D631DB" w14:paraId="08DDEB15" w14:textId="77777777" w:rsidTr="0021593F">
        <w:tc>
          <w:tcPr>
            <w:tcW w:w="2376" w:type="dxa"/>
          </w:tcPr>
          <w:p w14:paraId="272D8710" w14:textId="77777777" w:rsidR="00D631DB" w:rsidRDefault="00D631DB" w:rsidP="0021593F">
            <w:r>
              <w:t>Trigger point</w:t>
            </w:r>
          </w:p>
        </w:tc>
        <w:tc>
          <w:tcPr>
            <w:tcW w:w="1937" w:type="dxa"/>
          </w:tcPr>
          <w:p w14:paraId="18A33F44" w14:textId="5CE0005F" w:rsidR="00D631DB" w:rsidRDefault="00D631DB" w:rsidP="0021593F">
            <w:r>
              <w:t>2020 to     2021</w:t>
            </w:r>
          </w:p>
        </w:tc>
        <w:tc>
          <w:tcPr>
            <w:tcW w:w="1937" w:type="dxa"/>
          </w:tcPr>
          <w:p w14:paraId="49BECDFF" w14:textId="7D49ECD3" w:rsidR="00D631DB" w:rsidRDefault="00D631DB" w:rsidP="0021593F">
            <w:r>
              <w:t>2022 to 2023</w:t>
            </w:r>
          </w:p>
        </w:tc>
        <w:tc>
          <w:tcPr>
            <w:tcW w:w="1938" w:type="dxa"/>
          </w:tcPr>
          <w:p w14:paraId="37F1959D" w14:textId="5C8A72CA" w:rsidR="00D631DB" w:rsidRDefault="00D631DB" w:rsidP="0021593F">
            <w:r>
              <w:t>2024 to         2025</w:t>
            </w:r>
          </w:p>
        </w:tc>
        <w:tc>
          <w:tcPr>
            <w:tcW w:w="1937" w:type="dxa"/>
          </w:tcPr>
          <w:p w14:paraId="4A058A0B" w14:textId="685C9AAB" w:rsidR="00D631DB" w:rsidRDefault="00D631DB" w:rsidP="0021593F">
            <w:r>
              <w:t xml:space="preserve">2026 to     2027  </w:t>
            </w:r>
          </w:p>
        </w:tc>
        <w:tc>
          <w:tcPr>
            <w:tcW w:w="1937" w:type="dxa"/>
          </w:tcPr>
          <w:p w14:paraId="518D91F3" w14:textId="671D5946" w:rsidR="00D631DB" w:rsidRDefault="00D631DB" w:rsidP="0021593F">
            <w:r>
              <w:t>2028 to           2029</w:t>
            </w:r>
          </w:p>
        </w:tc>
        <w:tc>
          <w:tcPr>
            <w:tcW w:w="1938" w:type="dxa"/>
          </w:tcPr>
          <w:p w14:paraId="3F24FBD5" w14:textId="77777777" w:rsidR="00D631DB" w:rsidRDefault="00D631DB" w:rsidP="0021593F">
            <w:r>
              <w:t>2030</w:t>
            </w:r>
          </w:p>
        </w:tc>
      </w:tr>
      <w:tr w:rsidR="00D631DB" w14:paraId="55286205" w14:textId="77777777" w:rsidTr="0021593F">
        <w:tc>
          <w:tcPr>
            <w:tcW w:w="2376" w:type="dxa"/>
          </w:tcPr>
          <w:p w14:paraId="449029CB" w14:textId="77777777" w:rsidR="00D631DB" w:rsidRPr="006D177C" w:rsidRDefault="00D631DB" w:rsidP="0021593F">
            <w:pPr>
              <w:rPr>
                <w:b/>
              </w:rPr>
            </w:pPr>
            <w:r w:rsidRPr="006D177C">
              <w:rPr>
                <w:b/>
              </w:rPr>
              <w:t>New building or major refurbishment</w:t>
            </w:r>
          </w:p>
          <w:p w14:paraId="69A02E2E" w14:textId="77777777" w:rsidR="00D631DB" w:rsidRDefault="00D631DB" w:rsidP="0021593F">
            <w:r>
              <w:t>– base building rating</w:t>
            </w:r>
          </w:p>
        </w:tc>
        <w:tc>
          <w:tcPr>
            <w:tcW w:w="1937" w:type="dxa"/>
          </w:tcPr>
          <w:p w14:paraId="411887F5" w14:textId="77777777" w:rsidR="00D631DB" w:rsidRDefault="00D631DB" w:rsidP="0021593F">
            <w:r>
              <w:t>’Soft Start’</w:t>
            </w:r>
          </w:p>
        </w:tc>
        <w:tc>
          <w:tcPr>
            <w:tcW w:w="1937" w:type="dxa"/>
          </w:tcPr>
          <w:p w14:paraId="65249566" w14:textId="77777777" w:rsidR="00D631DB" w:rsidRDefault="00D631DB" w:rsidP="0021593F">
            <w:r>
              <w:t>Building Regs; Public procurement</w:t>
            </w:r>
          </w:p>
        </w:tc>
        <w:tc>
          <w:tcPr>
            <w:tcW w:w="1938" w:type="dxa"/>
          </w:tcPr>
          <w:p w14:paraId="47844A43" w14:textId="77777777" w:rsidR="00D631DB" w:rsidRDefault="00D631DB" w:rsidP="0021593F"/>
        </w:tc>
        <w:tc>
          <w:tcPr>
            <w:tcW w:w="1937" w:type="dxa"/>
          </w:tcPr>
          <w:p w14:paraId="3921CEDF" w14:textId="77777777" w:rsidR="00D631DB" w:rsidRDefault="00D631DB" w:rsidP="0021593F">
            <w:r>
              <w:t>Building Regs (2)</w:t>
            </w:r>
          </w:p>
        </w:tc>
        <w:tc>
          <w:tcPr>
            <w:tcW w:w="1937" w:type="dxa"/>
          </w:tcPr>
          <w:p w14:paraId="610A1561" w14:textId="77777777" w:rsidR="00D631DB" w:rsidRDefault="00D631DB" w:rsidP="0021593F"/>
        </w:tc>
        <w:tc>
          <w:tcPr>
            <w:tcW w:w="1938" w:type="dxa"/>
          </w:tcPr>
          <w:p w14:paraId="5AE3184E" w14:textId="77777777" w:rsidR="00D631DB" w:rsidRDefault="00D631DB" w:rsidP="0021593F"/>
        </w:tc>
      </w:tr>
      <w:tr w:rsidR="00D631DB" w14:paraId="495744B1" w14:textId="77777777" w:rsidTr="0021593F">
        <w:tc>
          <w:tcPr>
            <w:tcW w:w="2376" w:type="dxa"/>
          </w:tcPr>
          <w:p w14:paraId="0945330F" w14:textId="77777777" w:rsidR="00D631DB" w:rsidRDefault="00D631DB" w:rsidP="0021593F">
            <w:r>
              <w:t>Mandatory Scope – base building ratings</w:t>
            </w:r>
          </w:p>
        </w:tc>
        <w:tc>
          <w:tcPr>
            <w:tcW w:w="1937" w:type="dxa"/>
          </w:tcPr>
          <w:p w14:paraId="3EC486BD" w14:textId="77777777" w:rsidR="00D631DB" w:rsidRDefault="00D631DB" w:rsidP="0021593F"/>
        </w:tc>
        <w:tc>
          <w:tcPr>
            <w:tcW w:w="1937" w:type="dxa"/>
          </w:tcPr>
          <w:p w14:paraId="1471D4A8" w14:textId="77777777" w:rsidR="00D631DB" w:rsidRDefault="00D631DB" w:rsidP="0021593F">
            <w:r>
              <w:t>&gt;2000m2</w:t>
            </w:r>
          </w:p>
        </w:tc>
        <w:tc>
          <w:tcPr>
            <w:tcW w:w="1938" w:type="dxa"/>
          </w:tcPr>
          <w:p w14:paraId="6DF7FC42" w14:textId="77777777" w:rsidR="00D631DB" w:rsidRDefault="00D631DB" w:rsidP="0021593F"/>
        </w:tc>
        <w:tc>
          <w:tcPr>
            <w:tcW w:w="1937" w:type="dxa"/>
          </w:tcPr>
          <w:p w14:paraId="5D9557E7" w14:textId="77777777" w:rsidR="00D631DB" w:rsidRDefault="00D631DB" w:rsidP="0021593F">
            <w:r>
              <w:t>&gt;1000m2</w:t>
            </w:r>
          </w:p>
        </w:tc>
        <w:tc>
          <w:tcPr>
            <w:tcW w:w="1937" w:type="dxa"/>
          </w:tcPr>
          <w:p w14:paraId="455A105C" w14:textId="77777777" w:rsidR="00D631DB" w:rsidRDefault="00D631DB" w:rsidP="0021593F"/>
        </w:tc>
        <w:tc>
          <w:tcPr>
            <w:tcW w:w="1938" w:type="dxa"/>
          </w:tcPr>
          <w:p w14:paraId="2B32724A" w14:textId="77777777" w:rsidR="00D631DB" w:rsidRDefault="00D631DB" w:rsidP="0021593F">
            <w:r>
              <w:t>&gt;500m2</w:t>
            </w:r>
          </w:p>
        </w:tc>
      </w:tr>
      <w:tr w:rsidR="00D631DB" w14:paraId="39280236" w14:textId="77777777" w:rsidTr="0021593F">
        <w:tc>
          <w:tcPr>
            <w:tcW w:w="2376" w:type="dxa"/>
          </w:tcPr>
          <w:p w14:paraId="33F322E7" w14:textId="77777777" w:rsidR="00D631DB" w:rsidRDefault="00D631DB" w:rsidP="0021593F"/>
        </w:tc>
        <w:tc>
          <w:tcPr>
            <w:tcW w:w="1937" w:type="dxa"/>
          </w:tcPr>
          <w:p w14:paraId="118EC147" w14:textId="77777777" w:rsidR="00D631DB" w:rsidRDefault="00D631DB" w:rsidP="0021593F"/>
        </w:tc>
        <w:tc>
          <w:tcPr>
            <w:tcW w:w="1937" w:type="dxa"/>
          </w:tcPr>
          <w:p w14:paraId="2C996D9A" w14:textId="77777777" w:rsidR="00D631DB" w:rsidRDefault="00D631DB" w:rsidP="0021593F"/>
        </w:tc>
        <w:tc>
          <w:tcPr>
            <w:tcW w:w="1938" w:type="dxa"/>
          </w:tcPr>
          <w:p w14:paraId="150E7840" w14:textId="77777777" w:rsidR="00D631DB" w:rsidRDefault="00D631DB" w:rsidP="0021593F"/>
        </w:tc>
        <w:tc>
          <w:tcPr>
            <w:tcW w:w="1937" w:type="dxa"/>
          </w:tcPr>
          <w:p w14:paraId="6727F7C7" w14:textId="77777777" w:rsidR="00D631DB" w:rsidRDefault="00D631DB" w:rsidP="0021593F"/>
        </w:tc>
        <w:tc>
          <w:tcPr>
            <w:tcW w:w="1937" w:type="dxa"/>
          </w:tcPr>
          <w:p w14:paraId="035986E8" w14:textId="77777777" w:rsidR="00D631DB" w:rsidRDefault="00D631DB" w:rsidP="0021593F"/>
        </w:tc>
        <w:tc>
          <w:tcPr>
            <w:tcW w:w="1938" w:type="dxa"/>
          </w:tcPr>
          <w:p w14:paraId="1C991E31" w14:textId="77777777" w:rsidR="00D631DB" w:rsidRDefault="00D631DB" w:rsidP="0021593F"/>
        </w:tc>
      </w:tr>
      <w:tr w:rsidR="00D631DB" w14:paraId="2905559A" w14:textId="77777777" w:rsidTr="0021593F">
        <w:tc>
          <w:tcPr>
            <w:tcW w:w="2376" w:type="dxa"/>
          </w:tcPr>
          <w:p w14:paraId="4EE9A53D" w14:textId="77777777" w:rsidR="00D631DB" w:rsidRPr="006D177C" w:rsidRDefault="00D631DB" w:rsidP="0021593F">
            <w:pPr>
              <w:rPr>
                <w:b/>
              </w:rPr>
            </w:pPr>
            <w:r w:rsidRPr="006D177C">
              <w:rPr>
                <w:b/>
              </w:rPr>
              <w:t>Existing buildings</w:t>
            </w:r>
          </w:p>
          <w:p w14:paraId="7474E3E8" w14:textId="77777777" w:rsidR="00D631DB" w:rsidRDefault="00D631DB" w:rsidP="0021593F">
            <w:r>
              <w:t>– whole building rating</w:t>
            </w:r>
          </w:p>
        </w:tc>
        <w:tc>
          <w:tcPr>
            <w:tcW w:w="1937" w:type="dxa"/>
          </w:tcPr>
          <w:p w14:paraId="435837D0" w14:textId="77777777" w:rsidR="00D631DB" w:rsidRDefault="00D631DB" w:rsidP="0021593F">
            <w:r>
              <w:t>‘Soft Start’</w:t>
            </w:r>
          </w:p>
        </w:tc>
        <w:tc>
          <w:tcPr>
            <w:tcW w:w="1937" w:type="dxa"/>
          </w:tcPr>
          <w:p w14:paraId="2A61FC35" w14:textId="77777777" w:rsidR="00D631DB" w:rsidRDefault="00D631DB" w:rsidP="0021593F">
            <w:r>
              <w:t xml:space="preserve">Public procurement </w:t>
            </w:r>
          </w:p>
        </w:tc>
        <w:tc>
          <w:tcPr>
            <w:tcW w:w="1938" w:type="dxa"/>
          </w:tcPr>
          <w:p w14:paraId="0C154856" w14:textId="77777777" w:rsidR="00D631DB" w:rsidRDefault="00D631DB" w:rsidP="0021593F"/>
        </w:tc>
        <w:tc>
          <w:tcPr>
            <w:tcW w:w="1937" w:type="dxa"/>
          </w:tcPr>
          <w:p w14:paraId="2784BEDF" w14:textId="77777777" w:rsidR="00D631DB" w:rsidRDefault="00D631DB" w:rsidP="0021593F"/>
        </w:tc>
        <w:tc>
          <w:tcPr>
            <w:tcW w:w="1937" w:type="dxa"/>
          </w:tcPr>
          <w:p w14:paraId="2A9B2A42" w14:textId="77777777" w:rsidR="00D631DB" w:rsidRDefault="00D631DB" w:rsidP="0021593F"/>
        </w:tc>
        <w:tc>
          <w:tcPr>
            <w:tcW w:w="1938" w:type="dxa"/>
          </w:tcPr>
          <w:p w14:paraId="1DB0F720" w14:textId="77777777" w:rsidR="00D631DB" w:rsidRDefault="00D631DB" w:rsidP="0021593F"/>
        </w:tc>
      </w:tr>
      <w:tr w:rsidR="00D631DB" w14:paraId="57D81878" w14:textId="77777777" w:rsidTr="0021593F">
        <w:tc>
          <w:tcPr>
            <w:tcW w:w="2376" w:type="dxa"/>
          </w:tcPr>
          <w:p w14:paraId="4CB1B9A7" w14:textId="77777777" w:rsidR="00D631DB" w:rsidRDefault="00D631DB" w:rsidP="0021593F">
            <w:r>
              <w:t>Mandatory Scope - whole building ratings</w:t>
            </w:r>
          </w:p>
        </w:tc>
        <w:tc>
          <w:tcPr>
            <w:tcW w:w="1937" w:type="dxa"/>
          </w:tcPr>
          <w:p w14:paraId="592C2B29" w14:textId="77777777" w:rsidR="00D631DB" w:rsidRDefault="00D631DB" w:rsidP="0021593F"/>
        </w:tc>
        <w:tc>
          <w:tcPr>
            <w:tcW w:w="1937" w:type="dxa"/>
          </w:tcPr>
          <w:p w14:paraId="0E80A887" w14:textId="77777777" w:rsidR="00D631DB" w:rsidRDefault="00D631DB" w:rsidP="0021593F">
            <w:r>
              <w:t>&gt;1000m2</w:t>
            </w:r>
          </w:p>
        </w:tc>
        <w:tc>
          <w:tcPr>
            <w:tcW w:w="1938" w:type="dxa"/>
          </w:tcPr>
          <w:p w14:paraId="78CDF458" w14:textId="77777777" w:rsidR="00D631DB" w:rsidRDefault="00D631DB" w:rsidP="0021593F"/>
        </w:tc>
        <w:tc>
          <w:tcPr>
            <w:tcW w:w="1937" w:type="dxa"/>
          </w:tcPr>
          <w:p w14:paraId="1023C1BE" w14:textId="77777777" w:rsidR="00D631DB" w:rsidRDefault="00D631DB" w:rsidP="0021593F">
            <w:r>
              <w:t>&gt;500m2</w:t>
            </w:r>
          </w:p>
        </w:tc>
        <w:tc>
          <w:tcPr>
            <w:tcW w:w="1937" w:type="dxa"/>
          </w:tcPr>
          <w:p w14:paraId="46CC4D8C" w14:textId="77777777" w:rsidR="00D631DB" w:rsidRDefault="00D631DB" w:rsidP="0021593F"/>
        </w:tc>
        <w:tc>
          <w:tcPr>
            <w:tcW w:w="1938" w:type="dxa"/>
          </w:tcPr>
          <w:p w14:paraId="26C7BE31" w14:textId="77777777" w:rsidR="00D631DB" w:rsidRDefault="00D631DB" w:rsidP="0021593F">
            <w:r>
              <w:t>&gt;250m2</w:t>
            </w:r>
          </w:p>
        </w:tc>
      </w:tr>
    </w:tbl>
    <w:p w14:paraId="182F960D" w14:textId="77777777" w:rsidR="00D631DB" w:rsidRDefault="00D631DB" w:rsidP="00D631DB"/>
    <w:p w14:paraId="749C3E1F" w14:textId="77777777" w:rsidR="00D631DB" w:rsidRDefault="00D631DB" w:rsidP="00D631DB">
      <w:r>
        <w:t>Glossary:</w:t>
      </w:r>
    </w:p>
    <w:p w14:paraId="29081D74" w14:textId="77777777" w:rsidR="00D631DB" w:rsidRDefault="00D631DB" w:rsidP="00D631DB">
      <w:pPr>
        <w:pStyle w:val="ListParagraph"/>
        <w:numPr>
          <w:ilvl w:val="0"/>
          <w:numId w:val="10"/>
        </w:numPr>
        <w:spacing w:after="160" w:line="259" w:lineRule="auto"/>
      </w:pPr>
      <w:r>
        <w:t xml:space="preserve"> ‘Soft Start’ – </w:t>
      </w:r>
    </w:p>
    <w:p w14:paraId="375EBE16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 xml:space="preserve">Establishment of central collection point for lodging of anonymous data; </w:t>
      </w:r>
    </w:p>
    <w:p w14:paraId="48AF2EC1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Voluntary data collection begins;</w:t>
      </w:r>
    </w:p>
    <w:p w14:paraId="03A17703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? Incentivise and/or mandate data collection/submission for certain parts of sector;</w:t>
      </w:r>
    </w:p>
    <w:p w14:paraId="645F59D9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Voluntary ratings – linked to incentives</w:t>
      </w:r>
    </w:p>
    <w:p w14:paraId="3906B6AB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Development, in conjunction with industry, of benchmarks and ratings;</w:t>
      </w:r>
    </w:p>
    <w:p w14:paraId="519A99FC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Additional training for energy assessors on the evolving elements of the operational ratings methodology;</w:t>
      </w:r>
    </w:p>
    <w:p w14:paraId="3312268C" w14:textId="77777777" w:rsidR="00D631DB" w:rsidRDefault="00D631DB" w:rsidP="00D631DB">
      <w:pPr>
        <w:pStyle w:val="ListParagraph"/>
        <w:numPr>
          <w:ilvl w:val="1"/>
          <w:numId w:val="10"/>
        </w:numPr>
        <w:spacing w:after="160" w:line="259" w:lineRule="auto"/>
      </w:pPr>
      <w:r>
        <w:t>Planning reporting – requirement through planning policy to submit operational performance for first five (?) years of operation</w:t>
      </w:r>
    </w:p>
    <w:p w14:paraId="5A5DA612" w14:textId="77777777" w:rsidR="00D631DB" w:rsidRDefault="00D631DB" w:rsidP="00D631DB">
      <w:pPr>
        <w:pStyle w:val="ListParagraph"/>
        <w:numPr>
          <w:ilvl w:val="0"/>
          <w:numId w:val="10"/>
        </w:numPr>
        <w:spacing w:after="160" w:line="259" w:lineRule="auto"/>
      </w:pPr>
      <w:r>
        <w:t>Public procurement – setting minimum standards for central and local government buildings based on operational ratings (Australian model)</w:t>
      </w:r>
    </w:p>
    <w:p w14:paraId="55B8D8E1" w14:textId="77777777" w:rsidR="00D631DB" w:rsidRDefault="00D631DB" w:rsidP="00D631DB">
      <w:pPr>
        <w:pStyle w:val="ListParagraph"/>
        <w:numPr>
          <w:ilvl w:val="0"/>
          <w:numId w:val="10"/>
        </w:numPr>
        <w:spacing w:after="160" w:line="259" w:lineRule="auto"/>
      </w:pPr>
      <w:r>
        <w:t>Mandatory Scope – base building ratings: three-step phased introduction of base building ratings for new buildings and major refurbishments</w:t>
      </w:r>
    </w:p>
    <w:p w14:paraId="2F650F7F" w14:textId="77777777" w:rsidR="00D631DB" w:rsidRDefault="00D631DB" w:rsidP="00D631DB">
      <w:pPr>
        <w:pStyle w:val="ListParagraph"/>
        <w:numPr>
          <w:ilvl w:val="0"/>
          <w:numId w:val="10"/>
        </w:numPr>
        <w:spacing w:after="160" w:line="259" w:lineRule="auto"/>
      </w:pPr>
      <w:r>
        <w:t>Mandatory Scope – whole building ratings: three-step phased introduction of whole building ratings for existing buildings</w:t>
      </w:r>
    </w:p>
    <w:p w14:paraId="53105A38" w14:textId="77777777" w:rsidR="00D631DB" w:rsidRDefault="00D631DB" w:rsidP="00D631DB">
      <w:pPr>
        <w:pStyle w:val="ListParagraph"/>
        <w:numPr>
          <w:ilvl w:val="0"/>
          <w:numId w:val="10"/>
        </w:numPr>
        <w:spacing w:after="160" w:line="259" w:lineRule="auto"/>
      </w:pPr>
      <w:r>
        <w:t>Building Regs – requirement for appropriate metering and operational performance reporting and disclosure</w:t>
      </w:r>
    </w:p>
    <w:p w14:paraId="06D504F0" w14:textId="167235CA" w:rsidR="00D631DB" w:rsidRPr="00836DB2" w:rsidRDefault="00D631DB" w:rsidP="00D80B49">
      <w:pPr>
        <w:pStyle w:val="ListParagraph"/>
        <w:numPr>
          <w:ilvl w:val="0"/>
          <w:numId w:val="10"/>
        </w:numPr>
        <w:spacing w:after="160" w:line="259" w:lineRule="auto"/>
        <w:outlineLvl w:val="0"/>
        <w:rPr>
          <w:sz w:val="20"/>
          <w:szCs w:val="20"/>
        </w:rPr>
      </w:pPr>
      <w:r>
        <w:t>Building Regs (2) – metering as above, and operational performance used as the mechanism for compliance with Building Regs</w:t>
      </w:r>
    </w:p>
    <w:sectPr w:rsidR="00D631DB" w:rsidRPr="00836DB2" w:rsidSect="000D76FE">
      <w:headerReference w:type="default" r:id="rId9"/>
      <w:footerReference w:type="default" r:id="rId10"/>
      <w:pgSz w:w="11906" w:h="16838"/>
      <w:pgMar w:top="510" w:right="1304" w:bottom="1304" w:left="1304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01B7D8" w14:textId="77777777" w:rsidR="00554AA4" w:rsidRDefault="00554AA4" w:rsidP="00D631DB">
      <w:r>
        <w:separator/>
      </w:r>
    </w:p>
  </w:endnote>
  <w:endnote w:type="continuationSeparator" w:id="0">
    <w:p w14:paraId="1800CD8C" w14:textId="77777777" w:rsidR="00554AA4" w:rsidRDefault="00554AA4" w:rsidP="00D6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4974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9A2B10" w14:textId="4155D885" w:rsidR="00D631DB" w:rsidRDefault="00D631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76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2FA73A" w14:textId="77777777" w:rsidR="00D631DB" w:rsidRDefault="00D631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45422" w14:textId="77777777" w:rsidR="00554AA4" w:rsidRDefault="00554AA4" w:rsidP="00D631DB">
      <w:r>
        <w:separator/>
      </w:r>
    </w:p>
  </w:footnote>
  <w:footnote w:type="continuationSeparator" w:id="0">
    <w:p w14:paraId="1D5CD9E5" w14:textId="77777777" w:rsidR="00554AA4" w:rsidRDefault="00554AA4" w:rsidP="00D6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9F62FD" w14:textId="01D81A90" w:rsidR="000D76FE" w:rsidRDefault="000D76FE" w:rsidP="000D76F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4BD5"/>
    <w:multiLevelType w:val="hybridMultilevel"/>
    <w:tmpl w:val="C2A83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5001A"/>
    <w:multiLevelType w:val="hybridMultilevel"/>
    <w:tmpl w:val="30DCF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E5B17"/>
    <w:multiLevelType w:val="hybridMultilevel"/>
    <w:tmpl w:val="788E7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E7AA0"/>
    <w:multiLevelType w:val="hybridMultilevel"/>
    <w:tmpl w:val="3CEC8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D21AC"/>
    <w:multiLevelType w:val="hybridMultilevel"/>
    <w:tmpl w:val="0178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44C8E"/>
    <w:multiLevelType w:val="hybridMultilevel"/>
    <w:tmpl w:val="625A9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F3098"/>
    <w:multiLevelType w:val="hybridMultilevel"/>
    <w:tmpl w:val="DDB867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61A782A"/>
    <w:multiLevelType w:val="hybridMultilevel"/>
    <w:tmpl w:val="7E7A7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11606"/>
    <w:multiLevelType w:val="hybridMultilevel"/>
    <w:tmpl w:val="2432E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B05168"/>
    <w:multiLevelType w:val="hybridMultilevel"/>
    <w:tmpl w:val="ABFC8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9E9"/>
    <w:rsid w:val="000005C5"/>
    <w:rsid w:val="00000600"/>
    <w:rsid w:val="00002F0A"/>
    <w:rsid w:val="000063A2"/>
    <w:rsid w:val="00012BC6"/>
    <w:rsid w:val="00013106"/>
    <w:rsid w:val="00013A0C"/>
    <w:rsid w:val="0001708A"/>
    <w:rsid w:val="00022975"/>
    <w:rsid w:val="000257F7"/>
    <w:rsid w:val="00027D7E"/>
    <w:rsid w:val="00036A7B"/>
    <w:rsid w:val="00043DCE"/>
    <w:rsid w:val="0004623E"/>
    <w:rsid w:val="0004756E"/>
    <w:rsid w:val="00054994"/>
    <w:rsid w:val="00056FA8"/>
    <w:rsid w:val="00060289"/>
    <w:rsid w:val="00062360"/>
    <w:rsid w:val="0006322C"/>
    <w:rsid w:val="0006669D"/>
    <w:rsid w:val="00070E67"/>
    <w:rsid w:val="0007259B"/>
    <w:rsid w:val="00074C0E"/>
    <w:rsid w:val="00076612"/>
    <w:rsid w:val="00077E53"/>
    <w:rsid w:val="00080761"/>
    <w:rsid w:val="00087324"/>
    <w:rsid w:val="00090F7E"/>
    <w:rsid w:val="000B153F"/>
    <w:rsid w:val="000B207D"/>
    <w:rsid w:val="000B48AA"/>
    <w:rsid w:val="000C5537"/>
    <w:rsid w:val="000D0D87"/>
    <w:rsid w:val="000D76FE"/>
    <w:rsid w:val="000E0BEF"/>
    <w:rsid w:val="000E5502"/>
    <w:rsid w:val="000F1537"/>
    <w:rsid w:val="000F4BE9"/>
    <w:rsid w:val="000F5EEC"/>
    <w:rsid w:val="00104DFF"/>
    <w:rsid w:val="00105FED"/>
    <w:rsid w:val="00106048"/>
    <w:rsid w:val="00106FF1"/>
    <w:rsid w:val="00107CBB"/>
    <w:rsid w:val="001108F9"/>
    <w:rsid w:val="0011675B"/>
    <w:rsid w:val="00117DDB"/>
    <w:rsid w:val="00117E21"/>
    <w:rsid w:val="001208FF"/>
    <w:rsid w:val="00122C39"/>
    <w:rsid w:val="00124E9F"/>
    <w:rsid w:val="00125184"/>
    <w:rsid w:val="00132550"/>
    <w:rsid w:val="00133534"/>
    <w:rsid w:val="00134836"/>
    <w:rsid w:val="001358F9"/>
    <w:rsid w:val="00141DF7"/>
    <w:rsid w:val="00144712"/>
    <w:rsid w:val="00146303"/>
    <w:rsid w:val="00147291"/>
    <w:rsid w:val="00150B89"/>
    <w:rsid w:val="00152669"/>
    <w:rsid w:val="00154916"/>
    <w:rsid w:val="00155005"/>
    <w:rsid w:val="0016301B"/>
    <w:rsid w:val="0016649A"/>
    <w:rsid w:val="00170CC7"/>
    <w:rsid w:val="00171B93"/>
    <w:rsid w:val="00175FB4"/>
    <w:rsid w:val="001834F5"/>
    <w:rsid w:val="0018604C"/>
    <w:rsid w:val="001872C2"/>
    <w:rsid w:val="001A0955"/>
    <w:rsid w:val="001A2423"/>
    <w:rsid w:val="001A247C"/>
    <w:rsid w:val="001A395B"/>
    <w:rsid w:val="001A4870"/>
    <w:rsid w:val="001B2555"/>
    <w:rsid w:val="001B5F95"/>
    <w:rsid w:val="001D6B52"/>
    <w:rsid w:val="001E3EBE"/>
    <w:rsid w:val="001F36EB"/>
    <w:rsid w:val="00202FB1"/>
    <w:rsid w:val="00207028"/>
    <w:rsid w:val="00211914"/>
    <w:rsid w:val="00224DEA"/>
    <w:rsid w:val="002253B8"/>
    <w:rsid w:val="00227DCB"/>
    <w:rsid w:val="00232B3A"/>
    <w:rsid w:val="00236F40"/>
    <w:rsid w:val="002378F1"/>
    <w:rsid w:val="00237ECC"/>
    <w:rsid w:val="0024409D"/>
    <w:rsid w:val="002455AF"/>
    <w:rsid w:val="002542A7"/>
    <w:rsid w:val="002554E4"/>
    <w:rsid w:val="0026281C"/>
    <w:rsid w:val="00263011"/>
    <w:rsid w:val="00264BB6"/>
    <w:rsid w:val="00265C1D"/>
    <w:rsid w:val="00267CF2"/>
    <w:rsid w:val="00275B27"/>
    <w:rsid w:val="002768DE"/>
    <w:rsid w:val="00284768"/>
    <w:rsid w:val="00297816"/>
    <w:rsid w:val="002A2284"/>
    <w:rsid w:val="002A2AC1"/>
    <w:rsid w:val="002B2511"/>
    <w:rsid w:val="002B58D4"/>
    <w:rsid w:val="002B6583"/>
    <w:rsid w:val="002B7C91"/>
    <w:rsid w:val="002B7FE0"/>
    <w:rsid w:val="002C104A"/>
    <w:rsid w:val="002C37A5"/>
    <w:rsid w:val="002C79B2"/>
    <w:rsid w:val="002D0F8E"/>
    <w:rsid w:val="002D2798"/>
    <w:rsid w:val="002D3679"/>
    <w:rsid w:val="002D46AE"/>
    <w:rsid w:val="002E2CC4"/>
    <w:rsid w:val="002E30C2"/>
    <w:rsid w:val="002E5D04"/>
    <w:rsid w:val="002F08D9"/>
    <w:rsid w:val="002F2868"/>
    <w:rsid w:val="002F53EF"/>
    <w:rsid w:val="002F6458"/>
    <w:rsid w:val="002F6574"/>
    <w:rsid w:val="00301190"/>
    <w:rsid w:val="0030407A"/>
    <w:rsid w:val="00306350"/>
    <w:rsid w:val="00307019"/>
    <w:rsid w:val="00317D53"/>
    <w:rsid w:val="00324729"/>
    <w:rsid w:val="00326B0F"/>
    <w:rsid w:val="0033156D"/>
    <w:rsid w:val="003349A4"/>
    <w:rsid w:val="00341A45"/>
    <w:rsid w:val="00343C26"/>
    <w:rsid w:val="0034654A"/>
    <w:rsid w:val="003549A9"/>
    <w:rsid w:val="00354C11"/>
    <w:rsid w:val="00354C62"/>
    <w:rsid w:val="00356B04"/>
    <w:rsid w:val="00360D05"/>
    <w:rsid w:val="00363E36"/>
    <w:rsid w:val="00370F13"/>
    <w:rsid w:val="00371C3B"/>
    <w:rsid w:val="00376C07"/>
    <w:rsid w:val="00377C84"/>
    <w:rsid w:val="00380F2F"/>
    <w:rsid w:val="003830FA"/>
    <w:rsid w:val="00384F61"/>
    <w:rsid w:val="003904DD"/>
    <w:rsid w:val="00392D06"/>
    <w:rsid w:val="003949B7"/>
    <w:rsid w:val="003965EF"/>
    <w:rsid w:val="00397C88"/>
    <w:rsid w:val="00397D6B"/>
    <w:rsid w:val="003A3440"/>
    <w:rsid w:val="003B7037"/>
    <w:rsid w:val="003D0960"/>
    <w:rsid w:val="003D0AEF"/>
    <w:rsid w:val="003D7771"/>
    <w:rsid w:val="003D7F0C"/>
    <w:rsid w:val="003E7E8C"/>
    <w:rsid w:val="003F13A7"/>
    <w:rsid w:val="003F191E"/>
    <w:rsid w:val="003F2C8F"/>
    <w:rsid w:val="003F3083"/>
    <w:rsid w:val="003F4EAE"/>
    <w:rsid w:val="003F5784"/>
    <w:rsid w:val="004001CE"/>
    <w:rsid w:val="004004CA"/>
    <w:rsid w:val="004033A3"/>
    <w:rsid w:val="004036CD"/>
    <w:rsid w:val="00420874"/>
    <w:rsid w:val="00423DCD"/>
    <w:rsid w:val="00424715"/>
    <w:rsid w:val="004250E3"/>
    <w:rsid w:val="00430D79"/>
    <w:rsid w:val="0044114C"/>
    <w:rsid w:val="00447B1C"/>
    <w:rsid w:val="00454C04"/>
    <w:rsid w:val="004608B6"/>
    <w:rsid w:val="0046752A"/>
    <w:rsid w:val="00467A89"/>
    <w:rsid w:val="00477244"/>
    <w:rsid w:val="004810D2"/>
    <w:rsid w:val="00481BA1"/>
    <w:rsid w:val="00481F87"/>
    <w:rsid w:val="004828E3"/>
    <w:rsid w:val="00486869"/>
    <w:rsid w:val="004913D3"/>
    <w:rsid w:val="00495D37"/>
    <w:rsid w:val="00496D27"/>
    <w:rsid w:val="004C502A"/>
    <w:rsid w:val="004D116C"/>
    <w:rsid w:val="004D356D"/>
    <w:rsid w:val="004E0C68"/>
    <w:rsid w:val="004E63C7"/>
    <w:rsid w:val="004F17B5"/>
    <w:rsid w:val="004F64A2"/>
    <w:rsid w:val="004F702B"/>
    <w:rsid w:val="00510A8F"/>
    <w:rsid w:val="0051357F"/>
    <w:rsid w:val="00515FE7"/>
    <w:rsid w:val="0051666D"/>
    <w:rsid w:val="00521C85"/>
    <w:rsid w:val="00531581"/>
    <w:rsid w:val="00537A9C"/>
    <w:rsid w:val="0055083F"/>
    <w:rsid w:val="00550B7D"/>
    <w:rsid w:val="00553F18"/>
    <w:rsid w:val="00554AA4"/>
    <w:rsid w:val="00560DBF"/>
    <w:rsid w:val="00567CD6"/>
    <w:rsid w:val="00571FDE"/>
    <w:rsid w:val="00574EE5"/>
    <w:rsid w:val="00575061"/>
    <w:rsid w:val="00575095"/>
    <w:rsid w:val="00575879"/>
    <w:rsid w:val="00577171"/>
    <w:rsid w:val="00577951"/>
    <w:rsid w:val="00580B5A"/>
    <w:rsid w:val="00587BAB"/>
    <w:rsid w:val="005919F5"/>
    <w:rsid w:val="00592FC0"/>
    <w:rsid w:val="00594AF5"/>
    <w:rsid w:val="005A1C4F"/>
    <w:rsid w:val="005A2193"/>
    <w:rsid w:val="005A3AEC"/>
    <w:rsid w:val="005B2559"/>
    <w:rsid w:val="005B2EA0"/>
    <w:rsid w:val="005C084A"/>
    <w:rsid w:val="005C242A"/>
    <w:rsid w:val="005C6C71"/>
    <w:rsid w:val="005D338E"/>
    <w:rsid w:val="005D3C0B"/>
    <w:rsid w:val="005D505A"/>
    <w:rsid w:val="005D608D"/>
    <w:rsid w:val="005E01ED"/>
    <w:rsid w:val="005E2345"/>
    <w:rsid w:val="005F24D8"/>
    <w:rsid w:val="005F54D3"/>
    <w:rsid w:val="005F5C38"/>
    <w:rsid w:val="006000E4"/>
    <w:rsid w:val="00603B60"/>
    <w:rsid w:val="006134EA"/>
    <w:rsid w:val="00623F4A"/>
    <w:rsid w:val="006246EF"/>
    <w:rsid w:val="006269D0"/>
    <w:rsid w:val="00635446"/>
    <w:rsid w:val="00635DE1"/>
    <w:rsid w:val="006413D8"/>
    <w:rsid w:val="00641A6E"/>
    <w:rsid w:val="0064489B"/>
    <w:rsid w:val="0065448E"/>
    <w:rsid w:val="0065679B"/>
    <w:rsid w:val="00661D59"/>
    <w:rsid w:val="00662FDD"/>
    <w:rsid w:val="00663B85"/>
    <w:rsid w:val="00670B7E"/>
    <w:rsid w:val="00675E55"/>
    <w:rsid w:val="00677D0B"/>
    <w:rsid w:val="00683CFD"/>
    <w:rsid w:val="00692772"/>
    <w:rsid w:val="00694055"/>
    <w:rsid w:val="0069461B"/>
    <w:rsid w:val="00695D10"/>
    <w:rsid w:val="00695F89"/>
    <w:rsid w:val="00697AE8"/>
    <w:rsid w:val="006C0B8F"/>
    <w:rsid w:val="006D016D"/>
    <w:rsid w:val="006D23B8"/>
    <w:rsid w:val="006D7F3D"/>
    <w:rsid w:val="006E6D00"/>
    <w:rsid w:val="006E7C0E"/>
    <w:rsid w:val="006F5865"/>
    <w:rsid w:val="006F6F8B"/>
    <w:rsid w:val="00700738"/>
    <w:rsid w:val="00701818"/>
    <w:rsid w:val="00701A28"/>
    <w:rsid w:val="00702CE5"/>
    <w:rsid w:val="00704311"/>
    <w:rsid w:val="007147B6"/>
    <w:rsid w:val="007152B3"/>
    <w:rsid w:val="007167C3"/>
    <w:rsid w:val="0072263E"/>
    <w:rsid w:val="00724765"/>
    <w:rsid w:val="007265D8"/>
    <w:rsid w:val="00727127"/>
    <w:rsid w:val="0073409B"/>
    <w:rsid w:val="007371AD"/>
    <w:rsid w:val="00737E93"/>
    <w:rsid w:val="007532CB"/>
    <w:rsid w:val="0076028F"/>
    <w:rsid w:val="0076190D"/>
    <w:rsid w:val="00771712"/>
    <w:rsid w:val="00772EED"/>
    <w:rsid w:val="007860FF"/>
    <w:rsid w:val="0078661D"/>
    <w:rsid w:val="007913C0"/>
    <w:rsid w:val="00796014"/>
    <w:rsid w:val="007A41C2"/>
    <w:rsid w:val="007A5F7D"/>
    <w:rsid w:val="007A75E8"/>
    <w:rsid w:val="007C2218"/>
    <w:rsid w:val="007C7BD8"/>
    <w:rsid w:val="007D14CF"/>
    <w:rsid w:val="007D15A8"/>
    <w:rsid w:val="007D58AB"/>
    <w:rsid w:val="007D5BF1"/>
    <w:rsid w:val="007F00FB"/>
    <w:rsid w:val="007F109A"/>
    <w:rsid w:val="007F6E08"/>
    <w:rsid w:val="007F7907"/>
    <w:rsid w:val="008024B9"/>
    <w:rsid w:val="00803598"/>
    <w:rsid w:val="00810A34"/>
    <w:rsid w:val="00812ACB"/>
    <w:rsid w:val="0081338F"/>
    <w:rsid w:val="00815C53"/>
    <w:rsid w:val="00821972"/>
    <w:rsid w:val="008247EC"/>
    <w:rsid w:val="008341CF"/>
    <w:rsid w:val="008345F5"/>
    <w:rsid w:val="008359BA"/>
    <w:rsid w:val="00835B18"/>
    <w:rsid w:val="00836DB2"/>
    <w:rsid w:val="0084501F"/>
    <w:rsid w:val="00847073"/>
    <w:rsid w:val="00852E87"/>
    <w:rsid w:val="00871BAC"/>
    <w:rsid w:val="00877BF9"/>
    <w:rsid w:val="00877EBE"/>
    <w:rsid w:val="00881825"/>
    <w:rsid w:val="008936BB"/>
    <w:rsid w:val="00893702"/>
    <w:rsid w:val="0089445E"/>
    <w:rsid w:val="008945EE"/>
    <w:rsid w:val="008A1FBE"/>
    <w:rsid w:val="008B2440"/>
    <w:rsid w:val="008B59F5"/>
    <w:rsid w:val="008C0109"/>
    <w:rsid w:val="008C0F82"/>
    <w:rsid w:val="008D037B"/>
    <w:rsid w:val="008D4AF8"/>
    <w:rsid w:val="008D56B8"/>
    <w:rsid w:val="008D7264"/>
    <w:rsid w:val="008E0317"/>
    <w:rsid w:val="008E1653"/>
    <w:rsid w:val="008E3868"/>
    <w:rsid w:val="008E399F"/>
    <w:rsid w:val="008E3D69"/>
    <w:rsid w:val="008E5E59"/>
    <w:rsid w:val="008E69AD"/>
    <w:rsid w:val="008F2640"/>
    <w:rsid w:val="008F6D38"/>
    <w:rsid w:val="00900A41"/>
    <w:rsid w:val="00900FED"/>
    <w:rsid w:val="00914916"/>
    <w:rsid w:val="009216DA"/>
    <w:rsid w:val="00924897"/>
    <w:rsid w:val="0092567F"/>
    <w:rsid w:val="00927FE6"/>
    <w:rsid w:val="00932212"/>
    <w:rsid w:val="00933FA6"/>
    <w:rsid w:val="00935AD9"/>
    <w:rsid w:val="0093620A"/>
    <w:rsid w:val="009460F2"/>
    <w:rsid w:val="00962261"/>
    <w:rsid w:val="00967383"/>
    <w:rsid w:val="00967416"/>
    <w:rsid w:val="00971526"/>
    <w:rsid w:val="009721CF"/>
    <w:rsid w:val="00972B57"/>
    <w:rsid w:val="00976D6C"/>
    <w:rsid w:val="009804AA"/>
    <w:rsid w:val="00980846"/>
    <w:rsid w:val="00990B38"/>
    <w:rsid w:val="00992437"/>
    <w:rsid w:val="00993B86"/>
    <w:rsid w:val="009952CE"/>
    <w:rsid w:val="00997541"/>
    <w:rsid w:val="009A2778"/>
    <w:rsid w:val="009A44AD"/>
    <w:rsid w:val="009A5759"/>
    <w:rsid w:val="009A7CD4"/>
    <w:rsid w:val="009B18EA"/>
    <w:rsid w:val="009B66B4"/>
    <w:rsid w:val="009C428B"/>
    <w:rsid w:val="009C4949"/>
    <w:rsid w:val="009C7013"/>
    <w:rsid w:val="009D39B3"/>
    <w:rsid w:val="009D4D64"/>
    <w:rsid w:val="009D62A2"/>
    <w:rsid w:val="009E180B"/>
    <w:rsid w:val="009F4EB0"/>
    <w:rsid w:val="00A03A23"/>
    <w:rsid w:val="00A04CFD"/>
    <w:rsid w:val="00A165D1"/>
    <w:rsid w:val="00A24093"/>
    <w:rsid w:val="00A2425D"/>
    <w:rsid w:val="00A270BC"/>
    <w:rsid w:val="00A325CD"/>
    <w:rsid w:val="00A33059"/>
    <w:rsid w:val="00A339D6"/>
    <w:rsid w:val="00A43910"/>
    <w:rsid w:val="00A51355"/>
    <w:rsid w:val="00A6251E"/>
    <w:rsid w:val="00A66ADE"/>
    <w:rsid w:val="00A75710"/>
    <w:rsid w:val="00A7594D"/>
    <w:rsid w:val="00A75D18"/>
    <w:rsid w:val="00A77F2C"/>
    <w:rsid w:val="00A900E8"/>
    <w:rsid w:val="00A90B35"/>
    <w:rsid w:val="00A9117E"/>
    <w:rsid w:val="00A94533"/>
    <w:rsid w:val="00AA66D6"/>
    <w:rsid w:val="00AB1501"/>
    <w:rsid w:val="00AB291C"/>
    <w:rsid w:val="00AC1280"/>
    <w:rsid w:val="00AC2D70"/>
    <w:rsid w:val="00AC6EDE"/>
    <w:rsid w:val="00AC732C"/>
    <w:rsid w:val="00AD250A"/>
    <w:rsid w:val="00AD6C7B"/>
    <w:rsid w:val="00AE1BD6"/>
    <w:rsid w:val="00AE1DC8"/>
    <w:rsid w:val="00AE1F1E"/>
    <w:rsid w:val="00AF25DB"/>
    <w:rsid w:val="00B0242E"/>
    <w:rsid w:val="00B029AD"/>
    <w:rsid w:val="00B07E4A"/>
    <w:rsid w:val="00B1606A"/>
    <w:rsid w:val="00B161C2"/>
    <w:rsid w:val="00B16FA8"/>
    <w:rsid w:val="00B21E28"/>
    <w:rsid w:val="00B27DE8"/>
    <w:rsid w:val="00B326C6"/>
    <w:rsid w:val="00B354AC"/>
    <w:rsid w:val="00B354CD"/>
    <w:rsid w:val="00B41F8C"/>
    <w:rsid w:val="00B42008"/>
    <w:rsid w:val="00B46F07"/>
    <w:rsid w:val="00B52718"/>
    <w:rsid w:val="00B52F50"/>
    <w:rsid w:val="00B5486E"/>
    <w:rsid w:val="00B64005"/>
    <w:rsid w:val="00B6505D"/>
    <w:rsid w:val="00B73E96"/>
    <w:rsid w:val="00B839CD"/>
    <w:rsid w:val="00B84905"/>
    <w:rsid w:val="00B87228"/>
    <w:rsid w:val="00B875E8"/>
    <w:rsid w:val="00B9255E"/>
    <w:rsid w:val="00B976C7"/>
    <w:rsid w:val="00BA1234"/>
    <w:rsid w:val="00BA18DF"/>
    <w:rsid w:val="00BA4F4F"/>
    <w:rsid w:val="00BB09ED"/>
    <w:rsid w:val="00BB338A"/>
    <w:rsid w:val="00BB4BC4"/>
    <w:rsid w:val="00BC09B4"/>
    <w:rsid w:val="00BC0D50"/>
    <w:rsid w:val="00BC2E3F"/>
    <w:rsid w:val="00BC452E"/>
    <w:rsid w:val="00BC5418"/>
    <w:rsid w:val="00BD0E11"/>
    <w:rsid w:val="00BD346D"/>
    <w:rsid w:val="00BD5022"/>
    <w:rsid w:val="00BD5082"/>
    <w:rsid w:val="00BD5E5F"/>
    <w:rsid w:val="00BE34C4"/>
    <w:rsid w:val="00BE3C8B"/>
    <w:rsid w:val="00BE4D1F"/>
    <w:rsid w:val="00BE630F"/>
    <w:rsid w:val="00BF1FD9"/>
    <w:rsid w:val="00BF3446"/>
    <w:rsid w:val="00BF3C09"/>
    <w:rsid w:val="00C00B41"/>
    <w:rsid w:val="00C04FDD"/>
    <w:rsid w:val="00C06505"/>
    <w:rsid w:val="00C2127A"/>
    <w:rsid w:val="00C30FDA"/>
    <w:rsid w:val="00C325DF"/>
    <w:rsid w:val="00C35285"/>
    <w:rsid w:val="00C402E4"/>
    <w:rsid w:val="00C4258D"/>
    <w:rsid w:val="00C45D00"/>
    <w:rsid w:val="00C512BC"/>
    <w:rsid w:val="00C53ABC"/>
    <w:rsid w:val="00C5471F"/>
    <w:rsid w:val="00C615FB"/>
    <w:rsid w:val="00C66857"/>
    <w:rsid w:val="00C67DEC"/>
    <w:rsid w:val="00C71DF4"/>
    <w:rsid w:val="00C80441"/>
    <w:rsid w:val="00C82207"/>
    <w:rsid w:val="00C8788F"/>
    <w:rsid w:val="00CA0918"/>
    <w:rsid w:val="00CA3779"/>
    <w:rsid w:val="00CA6EC1"/>
    <w:rsid w:val="00CB19F4"/>
    <w:rsid w:val="00CB437C"/>
    <w:rsid w:val="00CC06E2"/>
    <w:rsid w:val="00CC3BE5"/>
    <w:rsid w:val="00CC5553"/>
    <w:rsid w:val="00CC5DDC"/>
    <w:rsid w:val="00CC6B45"/>
    <w:rsid w:val="00CD4A05"/>
    <w:rsid w:val="00CE1341"/>
    <w:rsid w:val="00CE3682"/>
    <w:rsid w:val="00CF10FD"/>
    <w:rsid w:val="00CF4592"/>
    <w:rsid w:val="00CF5C52"/>
    <w:rsid w:val="00CF68EC"/>
    <w:rsid w:val="00CF6C28"/>
    <w:rsid w:val="00D1281A"/>
    <w:rsid w:val="00D1636A"/>
    <w:rsid w:val="00D255F0"/>
    <w:rsid w:val="00D26EBF"/>
    <w:rsid w:val="00D27BDB"/>
    <w:rsid w:val="00D3220A"/>
    <w:rsid w:val="00D32B7E"/>
    <w:rsid w:val="00D370AA"/>
    <w:rsid w:val="00D44A4E"/>
    <w:rsid w:val="00D517C1"/>
    <w:rsid w:val="00D52E09"/>
    <w:rsid w:val="00D55E2E"/>
    <w:rsid w:val="00D56220"/>
    <w:rsid w:val="00D621E5"/>
    <w:rsid w:val="00D62818"/>
    <w:rsid w:val="00D631DB"/>
    <w:rsid w:val="00D64BF9"/>
    <w:rsid w:val="00D80B49"/>
    <w:rsid w:val="00D829C9"/>
    <w:rsid w:val="00D87222"/>
    <w:rsid w:val="00D94E5F"/>
    <w:rsid w:val="00D97136"/>
    <w:rsid w:val="00DA08E3"/>
    <w:rsid w:val="00DB3D45"/>
    <w:rsid w:val="00DB6B2E"/>
    <w:rsid w:val="00DC01D2"/>
    <w:rsid w:val="00DC4FBF"/>
    <w:rsid w:val="00DC5385"/>
    <w:rsid w:val="00DD09E9"/>
    <w:rsid w:val="00DD22C4"/>
    <w:rsid w:val="00DD4485"/>
    <w:rsid w:val="00DD4608"/>
    <w:rsid w:val="00DD7CA2"/>
    <w:rsid w:val="00DE0822"/>
    <w:rsid w:val="00DE3E6A"/>
    <w:rsid w:val="00DE54D6"/>
    <w:rsid w:val="00DE7446"/>
    <w:rsid w:val="00DF1064"/>
    <w:rsid w:val="00E03344"/>
    <w:rsid w:val="00E06733"/>
    <w:rsid w:val="00E0692A"/>
    <w:rsid w:val="00E118C3"/>
    <w:rsid w:val="00E152DB"/>
    <w:rsid w:val="00E15C25"/>
    <w:rsid w:val="00E17A7E"/>
    <w:rsid w:val="00E41B1F"/>
    <w:rsid w:val="00E43EB8"/>
    <w:rsid w:val="00E54852"/>
    <w:rsid w:val="00E57A89"/>
    <w:rsid w:val="00E57CC0"/>
    <w:rsid w:val="00E64BA8"/>
    <w:rsid w:val="00E65141"/>
    <w:rsid w:val="00E70957"/>
    <w:rsid w:val="00E767E5"/>
    <w:rsid w:val="00E76DB8"/>
    <w:rsid w:val="00E876AF"/>
    <w:rsid w:val="00E94C30"/>
    <w:rsid w:val="00EA1B20"/>
    <w:rsid w:val="00EA1B38"/>
    <w:rsid w:val="00EA3D9C"/>
    <w:rsid w:val="00EA4205"/>
    <w:rsid w:val="00EB1CA2"/>
    <w:rsid w:val="00EB6B4B"/>
    <w:rsid w:val="00EB7C72"/>
    <w:rsid w:val="00EC2DC5"/>
    <w:rsid w:val="00EC3580"/>
    <w:rsid w:val="00EC7BCD"/>
    <w:rsid w:val="00EC7CB9"/>
    <w:rsid w:val="00ED1F7B"/>
    <w:rsid w:val="00EE1804"/>
    <w:rsid w:val="00EF15BA"/>
    <w:rsid w:val="00EF5F2F"/>
    <w:rsid w:val="00F02672"/>
    <w:rsid w:val="00F036B0"/>
    <w:rsid w:val="00F038A9"/>
    <w:rsid w:val="00F0465A"/>
    <w:rsid w:val="00F06EC3"/>
    <w:rsid w:val="00F12A4C"/>
    <w:rsid w:val="00F13198"/>
    <w:rsid w:val="00F1714E"/>
    <w:rsid w:val="00F21478"/>
    <w:rsid w:val="00F25DDA"/>
    <w:rsid w:val="00F3355E"/>
    <w:rsid w:val="00F36DEE"/>
    <w:rsid w:val="00F37D81"/>
    <w:rsid w:val="00F37F4A"/>
    <w:rsid w:val="00F41391"/>
    <w:rsid w:val="00F4166E"/>
    <w:rsid w:val="00F46E38"/>
    <w:rsid w:val="00F4776C"/>
    <w:rsid w:val="00F5018C"/>
    <w:rsid w:val="00F55A2C"/>
    <w:rsid w:val="00F64A09"/>
    <w:rsid w:val="00F81F85"/>
    <w:rsid w:val="00F821D4"/>
    <w:rsid w:val="00F85602"/>
    <w:rsid w:val="00F8711F"/>
    <w:rsid w:val="00F8742D"/>
    <w:rsid w:val="00FA1E2C"/>
    <w:rsid w:val="00FA2D2E"/>
    <w:rsid w:val="00FA2F21"/>
    <w:rsid w:val="00FA7427"/>
    <w:rsid w:val="00FB3796"/>
    <w:rsid w:val="00FB783C"/>
    <w:rsid w:val="00FC69ED"/>
    <w:rsid w:val="00FD0CCE"/>
    <w:rsid w:val="00FD19E5"/>
    <w:rsid w:val="00FD36BB"/>
    <w:rsid w:val="00FF3C8B"/>
    <w:rsid w:val="00FF3E68"/>
    <w:rsid w:val="00FF5235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D7FC"/>
  <w15:docId w15:val="{93A5FA10-B212-4E4A-82A1-B8BDB1F5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unhideWhenUsed/>
    <w:rsid w:val="00DD09E9"/>
    <w:rPr>
      <w:vertAlign w:val="superscript"/>
    </w:rPr>
  </w:style>
  <w:style w:type="paragraph" w:styleId="ListParagraph">
    <w:name w:val="List Paragraph"/>
    <w:basedOn w:val="Normal"/>
    <w:uiPriority w:val="34"/>
    <w:qFormat/>
    <w:rsid w:val="00DD09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821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21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21D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21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21D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1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1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631DB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31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31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31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63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31DB"/>
  </w:style>
  <w:style w:type="paragraph" w:styleId="Footer">
    <w:name w:val="footer"/>
    <w:basedOn w:val="Normal"/>
    <w:link w:val="FooterChar"/>
    <w:uiPriority w:val="99"/>
    <w:unhideWhenUsed/>
    <w:rsid w:val="00D631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1C500-BA4E-418E-A2D5-3455B73D7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Mallaburn</dc:creator>
  <cp:lastModifiedBy>Jenny Holland</cp:lastModifiedBy>
  <cp:revision>2</cp:revision>
  <dcterms:created xsi:type="dcterms:W3CDTF">2018-09-11T13:00:00Z</dcterms:created>
  <dcterms:modified xsi:type="dcterms:W3CDTF">2018-09-11T13:00:00Z</dcterms:modified>
</cp:coreProperties>
</file>